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5" w:rsidRPr="00411551" w:rsidRDefault="00DC2DC5" w:rsidP="000A7AC4">
      <w:pPr>
        <w:pStyle w:val="IATED-PaperTitle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DYNAMIC DETERMINATION OF OPTIMUM</w:t>
      </w:r>
      <w:r w:rsidR="00AB2124">
        <w:rPr>
          <w:rFonts w:ascii="Calibri" w:hAnsi="Calibri" w:cs="Calibri"/>
        </w:rPr>
        <w:t xml:space="preserve"> GROWTH RATE OF </w:t>
      </w:r>
      <w:r w:rsidR="00AB2124" w:rsidRPr="00AB2124">
        <w:rPr>
          <w:rFonts w:ascii="Calibri" w:hAnsi="Calibri" w:cs="Calibri"/>
          <w:i/>
        </w:rPr>
        <w:t xml:space="preserve">LISTERIA MONOCYTOGENES </w:t>
      </w:r>
      <w:r w:rsidR="00AB2124">
        <w:rPr>
          <w:rFonts w:ascii="Calibri" w:hAnsi="Calibri" w:cs="Calibri"/>
        </w:rPr>
        <w:t xml:space="preserve">IN MINAS </w:t>
      </w:r>
      <w:r w:rsidR="002871FC">
        <w:rPr>
          <w:rFonts w:ascii="Calibri" w:hAnsi="Calibri" w:cs="Calibri"/>
        </w:rPr>
        <w:t xml:space="preserve">soft </w:t>
      </w:r>
      <w:r w:rsidR="00AB2124">
        <w:rPr>
          <w:rFonts w:ascii="Calibri" w:hAnsi="Calibri" w:cs="Calibri"/>
        </w:rPr>
        <w:t xml:space="preserve">CHEESE DURING COLD </w:t>
      </w:r>
      <w:r w:rsidR="00F35EB4">
        <w:rPr>
          <w:rFonts w:ascii="Calibri" w:hAnsi="Calibri" w:cs="Calibri"/>
        </w:rPr>
        <w:t>SHELF-LIFE</w:t>
      </w:r>
    </w:p>
    <w:p w:rsidR="000A7AC4" w:rsidRPr="00A553A8" w:rsidRDefault="00722785" w:rsidP="000A7AC4">
      <w:pPr>
        <w:pStyle w:val="IATED-Authors"/>
        <w:rPr>
          <w:rFonts w:ascii="Calibri" w:hAnsi="Calibri" w:cs="Calibri"/>
          <w:lang w:val="es-ES"/>
        </w:rPr>
      </w:pPr>
      <w:r w:rsidRPr="00A553A8">
        <w:rPr>
          <w:rFonts w:ascii="Calibri" w:hAnsi="Calibri" w:cs="Calibri"/>
          <w:lang w:val="es-ES"/>
        </w:rPr>
        <w:t>Vasco Cadavez</w:t>
      </w:r>
      <w:r w:rsidRPr="00A553A8">
        <w:rPr>
          <w:rFonts w:ascii="Calibri" w:hAnsi="Calibri" w:cs="Calibri"/>
          <w:vertAlign w:val="superscript"/>
          <w:lang w:val="es-ES"/>
        </w:rPr>
        <w:t>1</w:t>
      </w:r>
      <w:r w:rsidR="00962325">
        <w:rPr>
          <w:rFonts w:ascii="Calibri" w:hAnsi="Calibri" w:cs="Calibri"/>
          <w:vertAlign w:val="superscript"/>
          <w:lang w:val="es-ES"/>
        </w:rPr>
        <w:t>*</w:t>
      </w:r>
      <w:r w:rsidRPr="00A553A8">
        <w:rPr>
          <w:rFonts w:ascii="Calibri" w:hAnsi="Calibri" w:cs="Calibri"/>
          <w:lang w:val="es-ES"/>
        </w:rPr>
        <w:t>,</w:t>
      </w:r>
      <w:r w:rsidR="00156601" w:rsidRPr="00A553A8">
        <w:rPr>
          <w:rFonts w:ascii="Calibri" w:hAnsi="Calibri" w:cs="Calibri"/>
          <w:lang w:val="es-ES"/>
        </w:rPr>
        <w:t xml:space="preserve"> </w:t>
      </w:r>
      <w:r w:rsidRPr="00A553A8">
        <w:rPr>
          <w:rFonts w:ascii="Calibri" w:hAnsi="Calibri" w:cs="Calibri"/>
          <w:lang w:val="es-ES"/>
        </w:rPr>
        <w:t xml:space="preserve">Fernanda </w:t>
      </w:r>
      <w:proofErr w:type="spellStart"/>
      <w:r w:rsidRPr="00A553A8">
        <w:rPr>
          <w:rFonts w:ascii="Calibri" w:hAnsi="Calibri" w:cs="Calibri"/>
          <w:lang w:val="es-ES"/>
        </w:rPr>
        <w:t>Bovo</w:t>
      </w:r>
      <w:proofErr w:type="spellEnd"/>
      <w:r w:rsidR="00BB7A7A" w:rsidRPr="00A553A8">
        <w:rPr>
          <w:lang w:val="es-ES"/>
        </w:rPr>
        <w:t xml:space="preserve"> </w:t>
      </w:r>
      <w:r w:rsidR="00BB7A7A" w:rsidRPr="00A553A8">
        <w:rPr>
          <w:rFonts w:ascii="Calibri" w:hAnsi="Calibri" w:cs="Calibri"/>
          <w:lang w:val="es-ES"/>
        </w:rPr>
        <w:t>Campagnollo</w:t>
      </w:r>
      <w:r w:rsidRPr="00A553A8">
        <w:rPr>
          <w:rFonts w:ascii="Calibri" w:hAnsi="Calibri" w:cs="Calibri"/>
          <w:vertAlign w:val="superscript"/>
          <w:lang w:val="es-ES"/>
        </w:rPr>
        <w:t>2</w:t>
      </w:r>
      <w:r w:rsidRPr="00A553A8">
        <w:rPr>
          <w:rFonts w:ascii="Calibri" w:hAnsi="Calibri" w:cs="Calibri"/>
          <w:lang w:val="es-ES"/>
        </w:rPr>
        <w:t xml:space="preserve">, </w:t>
      </w:r>
      <w:proofErr w:type="spellStart"/>
      <w:r w:rsidRPr="00A553A8">
        <w:rPr>
          <w:rFonts w:ascii="Calibri" w:hAnsi="Calibri" w:cs="Calibri"/>
          <w:lang w:val="es-ES"/>
        </w:rPr>
        <w:t>Ursula</w:t>
      </w:r>
      <w:proofErr w:type="spellEnd"/>
      <w:r w:rsidRPr="00A553A8">
        <w:rPr>
          <w:rFonts w:ascii="Calibri" w:hAnsi="Calibri" w:cs="Calibri"/>
          <w:lang w:val="es-ES"/>
        </w:rPr>
        <w:t xml:space="preserve"> Gonzales-Barron</w:t>
      </w:r>
      <w:r w:rsidRPr="00A553A8">
        <w:rPr>
          <w:rFonts w:ascii="Calibri" w:hAnsi="Calibri" w:cs="Calibri"/>
          <w:vertAlign w:val="superscript"/>
          <w:lang w:val="es-ES"/>
        </w:rPr>
        <w:t>1</w:t>
      </w:r>
      <w:r w:rsidRPr="00A553A8">
        <w:rPr>
          <w:rFonts w:ascii="Calibri" w:hAnsi="Calibri" w:cs="Calibri"/>
          <w:lang w:val="es-ES"/>
        </w:rPr>
        <w:t>, Anderson Sant’Ana</w:t>
      </w:r>
      <w:r w:rsidRPr="00A553A8">
        <w:rPr>
          <w:rFonts w:ascii="Calibri" w:hAnsi="Calibri" w:cs="Calibri"/>
          <w:vertAlign w:val="superscript"/>
          <w:lang w:val="es-ES"/>
        </w:rPr>
        <w:t>2</w:t>
      </w:r>
    </w:p>
    <w:p w:rsidR="000A7AC4" w:rsidRDefault="00156601" w:rsidP="000A7AC4">
      <w:pPr>
        <w:pStyle w:val="IATED-Affiliation"/>
        <w:rPr>
          <w:rFonts w:ascii="Calibri" w:hAnsi="Calibri" w:cs="Calibri"/>
        </w:rPr>
      </w:pPr>
      <w:r w:rsidRPr="00156601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CIMO Mountain Research Centre, School of Agriculture (ESA), Polytechnic Institute of </w:t>
      </w:r>
      <w:proofErr w:type="spellStart"/>
      <w:r>
        <w:rPr>
          <w:rFonts w:ascii="Calibri" w:hAnsi="Calibri" w:cs="Calibri"/>
        </w:rPr>
        <w:t>Bragança</w:t>
      </w:r>
      <w:proofErr w:type="spellEnd"/>
      <w:r>
        <w:rPr>
          <w:rFonts w:ascii="Calibri" w:hAnsi="Calibri" w:cs="Calibri"/>
        </w:rPr>
        <w:t>, Portugal</w:t>
      </w:r>
    </w:p>
    <w:p w:rsidR="00156601" w:rsidRDefault="00156601" w:rsidP="000A7AC4">
      <w:pPr>
        <w:pStyle w:val="IATED-Affiliation"/>
        <w:rPr>
          <w:rFonts w:ascii="Calibri" w:hAnsi="Calibri" w:cs="Calibri"/>
        </w:rPr>
      </w:pPr>
      <w:r w:rsidRPr="00156601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Faculty of Food Engineering, Campinas State University (UNICAMP), Brazil</w:t>
      </w:r>
    </w:p>
    <w:p w:rsidR="000A7AC4" w:rsidRPr="004E23AD" w:rsidRDefault="00962325" w:rsidP="000A7AC4">
      <w:pPr>
        <w:pStyle w:val="IATED-email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*</w:t>
      </w:r>
      <w:r w:rsidR="000A7AC4" w:rsidRPr="004E23AD">
        <w:rPr>
          <w:rFonts w:ascii="Calibri" w:hAnsi="Calibri" w:cs="Calibri"/>
          <w:lang w:val="pt-PT"/>
        </w:rPr>
        <w:t>E-mail</w:t>
      </w:r>
      <w:r w:rsidR="00156601" w:rsidRPr="004E23AD">
        <w:rPr>
          <w:rFonts w:ascii="Calibri" w:hAnsi="Calibri" w:cs="Calibri"/>
          <w:lang w:val="pt-PT"/>
        </w:rPr>
        <w:t xml:space="preserve">: </w:t>
      </w:r>
      <w:r w:rsidR="00C5701F">
        <w:fldChar w:fldCharType="begin"/>
      </w:r>
      <w:r w:rsidR="00C5701F" w:rsidRPr="00DE1C90">
        <w:rPr>
          <w:lang w:val="pt-PT"/>
        </w:rPr>
        <w:instrText xml:space="preserve"> HYPERLINK "mailto:vcadavez@ipb.pt" </w:instrText>
      </w:r>
      <w:r w:rsidR="00C5701F">
        <w:fldChar w:fldCharType="separate"/>
      </w:r>
      <w:r w:rsidR="00EC1886" w:rsidRPr="004E23AD">
        <w:rPr>
          <w:rStyle w:val="Hiperligao"/>
          <w:rFonts w:ascii="Calibri" w:hAnsi="Calibri" w:cs="Calibri"/>
          <w:lang w:val="pt-PT"/>
        </w:rPr>
        <w:t>vcadavez@ipb.pt</w:t>
      </w:r>
      <w:r w:rsidR="00C5701F">
        <w:rPr>
          <w:rStyle w:val="Hiperligao"/>
          <w:rFonts w:ascii="Calibri" w:hAnsi="Calibri" w:cs="Calibri"/>
          <w:lang w:val="pt-PT"/>
        </w:rPr>
        <w:fldChar w:fldCharType="end"/>
      </w:r>
    </w:p>
    <w:p w:rsidR="000A7AC4" w:rsidRPr="004E23AD" w:rsidRDefault="00AB2124" w:rsidP="000A7AC4">
      <w:pPr>
        <w:pStyle w:val="Ttulo"/>
        <w:rPr>
          <w:rFonts w:ascii="Calibri" w:hAnsi="Calibri" w:cs="Calibri"/>
          <w:lang w:val="pt-PT"/>
        </w:rPr>
      </w:pPr>
      <w:proofErr w:type="spellStart"/>
      <w:r w:rsidRPr="004E23AD">
        <w:rPr>
          <w:rFonts w:ascii="Calibri" w:hAnsi="Calibri" w:cs="Calibri"/>
          <w:lang w:val="pt-PT"/>
        </w:rPr>
        <w:t>A</w:t>
      </w:r>
      <w:r w:rsidR="00C50EA3" w:rsidRPr="004E23AD">
        <w:rPr>
          <w:rFonts w:ascii="Calibri" w:hAnsi="Calibri" w:cs="Calibri"/>
          <w:lang w:val="pt-PT"/>
        </w:rPr>
        <w:t>bstract</w:t>
      </w:r>
      <w:proofErr w:type="spellEnd"/>
    </w:p>
    <w:p w:rsidR="000453D2" w:rsidRDefault="00EA1BAC" w:rsidP="000A7AC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This study aimed</w:t>
      </w:r>
      <w:r w:rsidR="00C863AE" w:rsidRPr="00C863AE">
        <w:rPr>
          <w:rFonts w:ascii="Calibri" w:hAnsi="Calibri" w:cs="Calibri"/>
          <w:lang w:val="en-GB"/>
        </w:rPr>
        <w:t xml:space="preserve"> to </w:t>
      </w:r>
      <w:r w:rsidR="005E1370">
        <w:rPr>
          <w:rFonts w:ascii="Calibri" w:hAnsi="Calibri" w:cs="Calibri"/>
          <w:lang w:val="en-GB"/>
        </w:rPr>
        <w:t>compare</w:t>
      </w:r>
      <w:r w:rsidR="00C863AE" w:rsidRPr="00C863AE">
        <w:rPr>
          <w:rFonts w:ascii="Calibri" w:hAnsi="Calibri" w:cs="Calibri"/>
          <w:lang w:val="en-GB"/>
        </w:rPr>
        <w:t xml:space="preserve"> the kinetic parameters of </w:t>
      </w:r>
      <w:r w:rsidR="00C863AE" w:rsidRPr="005E1370">
        <w:rPr>
          <w:rFonts w:ascii="Calibri" w:hAnsi="Calibri" w:cs="Calibri"/>
          <w:i/>
          <w:lang w:val="en-GB"/>
        </w:rPr>
        <w:t>L. monocytogenes</w:t>
      </w:r>
      <w:r w:rsidR="00C863AE" w:rsidRPr="00C863AE">
        <w:rPr>
          <w:rFonts w:ascii="Calibri" w:hAnsi="Calibri" w:cs="Calibri"/>
          <w:lang w:val="en-GB"/>
        </w:rPr>
        <w:t xml:space="preserve"> during refrigerated shelf-life of soft </w:t>
      </w:r>
      <w:proofErr w:type="gramStart"/>
      <w:r w:rsidR="00C863AE" w:rsidRPr="00C863AE">
        <w:rPr>
          <w:rFonts w:ascii="Calibri" w:hAnsi="Calibri" w:cs="Calibri"/>
          <w:lang w:val="en-GB"/>
        </w:rPr>
        <w:t>Minas</w:t>
      </w:r>
      <w:proofErr w:type="gramEnd"/>
      <w:r w:rsidR="00C863AE" w:rsidRPr="00C863AE">
        <w:rPr>
          <w:rFonts w:ascii="Calibri" w:hAnsi="Calibri" w:cs="Calibri"/>
          <w:lang w:val="en-GB"/>
        </w:rPr>
        <w:t xml:space="preserve"> cheese produced with raw or pasteurised milk, and with or without addition of </w:t>
      </w:r>
      <w:r w:rsidR="005E1370">
        <w:rPr>
          <w:rFonts w:ascii="Calibri" w:hAnsi="Calibri" w:cs="Calibri"/>
          <w:lang w:val="en-GB"/>
        </w:rPr>
        <w:t xml:space="preserve">a </w:t>
      </w:r>
      <w:r w:rsidR="00C863AE" w:rsidRPr="00C863AE">
        <w:rPr>
          <w:rFonts w:ascii="Calibri" w:hAnsi="Calibri" w:cs="Calibri"/>
          <w:lang w:val="en-GB"/>
        </w:rPr>
        <w:t>cocktail of selected LAB</w:t>
      </w:r>
      <w:r w:rsidR="005E1370">
        <w:rPr>
          <w:rFonts w:ascii="Calibri" w:hAnsi="Calibri" w:cs="Calibri"/>
          <w:lang w:val="en-GB"/>
        </w:rPr>
        <w:t xml:space="preserve"> (starter)</w:t>
      </w:r>
      <w:r w:rsidR="00C863AE" w:rsidRPr="00C863AE">
        <w:rPr>
          <w:rFonts w:ascii="Calibri" w:hAnsi="Calibri" w:cs="Calibri"/>
          <w:lang w:val="en-GB"/>
        </w:rPr>
        <w:t>.</w:t>
      </w:r>
      <w:r w:rsidR="00C863AE">
        <w:rPr>
          <w:rFonts w:ascii="Calibri" w:hAnsi="Calibri" w:cs="Calibri"/>
          <w:lang w:val="en-GB"/>
        </w:rPr>
        <w:t xml:space="preserve"> A dynamic tertiary model based on the Huang a</w:t>
      </w:r>
      <w:r>
        <w:rPr>
          <w:rFonts w:ascii="Calibri" w:hAnsi="Calibri" w:cs="Calibri"/>
          <w:lang w:val="en-GB"/>
        </w:rPr>
        <w:t>nd the cardinal parameter model</w:t>
      </w:r>
      <w:r w:rsidR="001B1EC0">
        <w:rPr>
          <w:rFonts w:ascii="Calibri" w:hAnsi="Calibri" w:cs="Calibri"/>
          <w:lang w:val="en-GB"/>
        </w:rPr>
        <w:t>s</w:t>
      </w:r>
      <w:r>
        <w:rPr>
          <w:rFonts w:ascii="Calibri" w:hAnsi="Calibri" w:cs="Calibri"/>
          <w:lang w:val="en-GB"/>
        </w:rPr>
        <w:t xml:space="preserve">, adjusted to each of the four treatments, </w:t>
      </w:r>
      <w:r w:rsidR="00C863AE">
        <w:rPr>
          <w:rFonts w:ascii="Calibri" w:hAnsi="Calibri" w:cs="Calibri"/>
          <w:lang w:val="en-GB"/>
        </w:rPr>
        <w:t>de</w:t>
      </w:r>
      <w:r w:rsidR="005E1370">
        <w:rPr>
          <w:rFonts w:ascii="Calibri" w:hAnsi="Calibri" w:cs="Calibri"/>
          <w:lang w:val="en-GB"/>
        </w:rPr>
        <w:t>termined that the slowest growth (</w:t>
      </w:r>
      <w:r w:rsidR="005E1370" w:rsidRPr="005E1370">
        <w:rPr>
          <w:rFonts w:ascii="Calibri" w:hAnsi="Calibri" w:cs="Calibri"/>
          <w:lang w:val="en-GB"/>
        </w:rPr>
        <w:t>0.0281</w:t>
      </w:r>
      <w:r w:rsidR="005E1370">
        <w:rPr>
          <w:rFonts w:ascii="Calibri" w:hAnsi="Calibri" w:cs="Calibri"/>
          <w:lang w:val="en-GB"/>
        </w:rPr>
        <w:t xml:space="preserve"> ln </w:t>
      </w:r>
      <w:r w:rsidRPr="0071016F">
        <w:rPr>
          <w:rFonts w:asciiTheme="minorHAnsi" w:hAnsiTheme="minorHAnsi" w:cstheme="minorHAnsi"/>
          <w:szCs w:val="20"/>
          <w:lang w:val="en-IE"/>
        </w:rPr>
        <w:t>CFU/g h</w:t>
      </w:r>
      <w:r w:rsidRPr="0071016F">
        <w:rPr>
          <w:rFonts w:asciiTheme="minorHAnsi" w:hAnsiTheme="minorHAnsi" w:cstheme="minorHAnsi"/>
          <w:szCs w:val="20"/>
          <w:vertAlign w:val="superscript"/>
          <w:lang w:val="en-IE"/>
        </w:rPr>
        <w:t>-1</w:t>
      </w:r>
      <w:r w:rsidR="005E1370">
        <w:rPr>
          <w:rFonts w:ascii="Calibri" w:hAnsi="Calibri" w:cs="Calibri"/>
          <w:lang w:val="en-GB"/>
        </w:rPr>
        <w:t xml:space="preserve">) and the lowest carrying capacity (14.12 ln CFU/g) of </w:t>
      </w:r>
      <w:r w:rsidR="005E1370" w:rsidRPr="005E1370">
        <w:rPr>
          <w:rFonts w:ascii="Calibri" w:hAnsi="Calibri" w:cs="Calibri"/>
          <w:i/>
          <w:lang w:val="en-GB"/>
        </w:rPr>
        <w:t>L. monocytogenes</w:t>
      </w:r>
      <w:r w:rsidR="005E1370">
        <w:rPr>
          <w:rFonts w:ascii="Calibri" w:hAnsi="Calibri" w:cs="Calibri"/>
          <w:lang w:val="en-GB"/>
        </w:rPr>
        <w:t xml:space="preserve"> in Minas cheese was obtained by adding </w:t>
      </w:r>
      <w:r w:rsidR="001B1EC0">
        <w:rPr>
          <w:rFonts w:ascii="Calibri" w:hAnsi="Calibri" w:cs="Calibri"/>
          <w:lang w:val="en-GB"/>
        </w:rPr>
        <w:t>the tailored</w:t>
      </w:r>
      <w:r w:rsidR="005E1370">
        <w:rPr>
          <w:rFonts w:ascii="Calibri" w:hAnsi="Calibri" w:cs="Calibri"/>
          <w:lang w:val="en-GB"/>
        </w:rPr>
        <w:t xml:space="preserve"> </w:t>
      </w:r>
      <w:r w:rsidR="006359FF">
        <w:rPr>
          <w:rFonts w:ascii="Calibri" w:hAnsi="Calibri" w:cs="Calibri"/>
          <w:lang w:val="en-GB"/>
        </w:rPr>
        <w:t xml:space="preserve">culture </w:t>
      </w:r>
      <w:r w:rsidR="005E1370">
        <w:rPr>
          <w:rFonts w:ascii="Calibri" w:hAnsi="Calibri" w:cs="Calibri"/>
          <w:lang w:val="en-GB"/>
        </w:rPr>
        <w:t>to raw milk.</w:t>
      </w:r>
    </w:p>
    <w:p w:rsidR="000A7AC4" w:rsidRPr="00411551" w:rsidRDefault="00003CB8" w:rsidP="00411551">
      <w:pPr>
        <w:pStyle w:val="IATED-Keywords"/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Huang model</w:t>
      </w:r>
      <w:r w:rsidR="00391F9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cardinal parameter model</w:t>
      </w:r>
      <w:r w:rsidR="00391F9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dynamic model, tertiary model</w:t>
      </w:r>
    </w:p>
    <w:p w:rsidR="000A7AC4" w:rsidRPr="00411551" w:rsidRDefault="00027C3A" w:rsidP="004C7E8B">
      <w:pPr>
        <w:pStyle w:val="Cabealho1"/>
        <w:numPr>
          <w:ilvl w:val="0"/>
          <w:numId w:val="0"/>
        </w:num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INTRODUCTION</w:t>
      </w:r>
      <w:r w:rsidR="003B33B6">
        <w:rPr>
          <w:rFonts w:ascii="Calibri" w:hAnsi="Calibri" w:cs="Calibri"/>
          <w:lang w:val="en-GB"/>
        </w:rPr>
        <w:t xml:space="preserve"> </w:t>
      </w:r>
    </w:p>
    <w:p w:rsidR="008A2613" w:rsidRDefault="00634E6E" w:rsidP="00962325">
      <w:pPr>
        <w:pStyle w:val="Cabealho1"/>
        <w:numPr>
          <w:ilvl w:val="0"/>
          <w:numId w:val="0"/>
        </w:numPr>
        <w:spacing w:before="0"/>
        <w:ind w:hanging="6"/>
        <w:jc w:val="both"/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</w:pPr>
      <w:proofErr w:type="gramStart"/>
      <w:r w:rsidRPr="00634E6E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Minas</w:t>
      </w:r>
      <w:proofErr w:type="gramEnd"/>
      <w:r w:rsidRPr="00634E6E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cheeses </w:t>
      </w:r>
      <w:r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are Brazilian </w:t>
      </w:r>
      <w:r w:rsidR="000B738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traditional</w:t>
      </w:r>
      <w:r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cheeses, often </w:t>
      </w:r>
      <w:r w:rsidRPr="00634E6E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manufactured </w:t>
      </w:r>
      <w:r w:rsidR="00F80022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by small farmers</w:t>
      </w:r>
      <w:r w:rsidR="00F80022" w:rsidRPr="00634E6E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</w:t>
      </w:r>
      <w:r w:rsidR="00CC6AAB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in an </w:t>
      </w:r>
      <w:r w:rsidRPr="00634E6E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empirical manner using raw milk and indigenous lactic acid bacteria (LAB)</w:t>
      </w:r>
      <w:r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. </w:t>
      </w:r>
      <w:r w:rsidR="000F410A" w:rsidRPr="000F410A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From all types of Minas cheeses, the refrigerated soft type </w:t>
      </w:r>
      <w:r w:rsidR="000F410A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has </w:t>
      </w:r>
      <w:r w:rsidR="008A261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shown </w:t>
      </w:r>
      <w:r w:rsidR="000F410A" w:rsidRPr="000F410A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the highest frequency of </w:t>
      </w:r>
      <w:r w:rsidR="000F410A" w:rsidRPr="000F410A">
        <w:rPr>
          <w:rFonts w:ascii="Calibri" w:hAnsi="Calibri" w:cs="Calibri"/>
          <w:b w:val="0"/>
          <w:bCs w:val="0"/>
          <w:i/>
          <w:caps w:val="0"/>
          <w:kern w:val="0"/>
          <w:sz w:val="20"/>
          <w:szCs w:val="24"/>
          <w:lang w:val="en-GB"/>
        </w:rPr>
        <w:t xml:space="preserve">L. monocytogenes </w:t>
      </w:r>
      <w:r w:rsidR="000F410A" w:rsidRPr="000F410A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recovery (3 – 45%</w:t>
      </w:r>
      <w:r w:rsidR="000F410A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)</w:t>
      </w:r>
      <w:r w:rsidR="000F410A" w:rsidRPr="000F410A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</w:t>
      </w:r>
      <w:r w:rsidR="00B3278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despite </w:t>
      </w:r>
      <w:r w:rsidR="00563374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the fact that </w:t>
      </w:r>
      <w:r w:rsidR="00B3278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some strains of indigenous LAB – isolated from the fermented whey collected from previous cheese production – have been shown to inhibit </w:t>
      </w:r>
      <w:r w:rsidR="00B32780" w:rsidRPr="00B32780">
        <w:rPr>
          <w:rFonts w:ascii="Calibri" w:hAnsi="Calibri" w:cs="Calibri"/>
          <w:b w:val="0"/>
          <w:bCs w:val="0"/>
          <w:i/>
          <w:caps w:val="0"/>
          <w:kern w:val="0"/>
          <w:sz w:val="20"/>
          <w:szCs w:val="24"/>
          <w:lang w:val="en-GB"/>
        </w:rPr>
        <w:t>L. monocytogenes</w:t>
      </w:r>
      <w:r w:rsidR="00B3278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. T</w:t>
      </w:r>
      <w:r w:rsidR="008A2613" w:rsidRPr="008A261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hus, the objective of this study was to </w:t>
      </w:r>
      <w:r w:rsidR="00F80022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characterise the kinetic parameters of</w:t>
      </w:r>
      <w:r w:rsidR="008A2613" w:rsidRPr="008A261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</w:t>
      </w:r>
      <w:r w:rsidR="008A2613" w:rsidRPr="00B32780">
        <w:rPr>
          <w:rFonts w:ascii="Calibri" w:hAnsi="Calibri" w:cs="Calibri"/>
          <w:b w:val="0"/>
          <w:bCs w:val="0"/>
          <w:i/>
          <w:caps w:val="0"/>
          <w:kern w:val="0"/>
          <w:sz w:val="20"/>
          <w:szCs w:val="24"/>
          <w:lang w:val="en-GB"/>
        </w:rPr>
        <w:t>L. monocytogenes</w:t>
      </w:r>
      <w:r w:rsidR="008A2613" w:rsidRPr="008A261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during refrigerated shelf-life of soft </w:t>
      </w:r>
      <w:proofErr w:type="gramStart"/>
      <w:r w:rsidR="008A2613" w:rsidRPr="008A261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Minas</w:t>
      </w:r>
      <w:proofErr w:type="gramEnd"/>
      <w:r w:rsidR="008A2613" w:rsidRPr="008A2613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cheese produce</w:t>
      </w:r>
      <w:r w:rsidR="00F80022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d with raw or</w:t>
      </w:r>
      <w:r w:rsidR="00A1590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 pasteuris</w:t>
      </w:r>
      <w:r w:rsidR="00F80022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ed milk, and with or without </w:t>
      </w:r>
      <w:r w:rsidR="00B3278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addition of </w:t>
      </w:r>
      <w:r w:rsidR="004E23AD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a </w:t>
      </w:r>
      <w:r w:rsidR="00A1590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cocktail of </w:t>
      </w:r>
      <w:r w:rsidR="00B3278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 xml:space="preserve">selected LAB with </w:t>
      </w:r>
      <w:r w:rsidR="006264DE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high acidifying capacity</w:t>
      </w:r>
      <w:r w:rsidR="00B32780">
        <w:rPr>
          <w:rFonts w:ascii="Calibri" w:hAnsi="Calibri" w:cs="Calibri"/>
          <w:b w:val="0"/>
          <w:bCs w:val="0"/>
          <w:caps w:val="0"/>
          <w:kern w:val="0"/>
          <w:sz w:val="20"/>
          <w:szCs w:val="24"/>
          <w:lang w:val="en-GB"/>
        </w:rPr>
        <w:t>.</w:t>
      </w:r>
    </w:p>
    <w:p w:rsidR="003B33B6" w:rsidRPr="00411551" w:rsidRDefault="003B33B6" w:rsidP="000F410A">
      <w:pPr>
        <w:pStyle w:val="Cabealho1"/>
        <w:numPr>
          <w:ilvl w:val="0"/>
          <w:numId w:val="0"/>
        </w:numPr>
        <w:ind w:hanging="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methodology</w:t>
      </w:r>
    </w:p>
    <w:p w:rsidR="00923382" w:rsidRDefault="00500ECC" w:rsidP="00923382">
      <w:pPr>
        <w:autoSpaceDE w:val="0"/>
        <w:autoSpaceDN w:val="0"/>
        <w:adjustRightInd w:val="0"/>
        <w:spacing w:before="0"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Four</w:t>
      </w:r>
      <w:r w:rsidRPr="00500ECC">
        <w:rPr>
          <w:rFonts w:ascii="Calibri" w:hAnsi="Calibri" w:cs="Calibri"/>
          <w:lang w:val="en-GB"/>
        </w:rPr>
        <w:t xml:space="preserve"> different treatments were performed in duplicate, and consisted of production of Min</w:t>
      </w:r>
      <w:r>
        <w:rPr>
          <w:rFonts w:ascii="Calibri" w:hAnsi="Calibri" w:cs="Calibri"/>
          <w:lang w:val="en-GB"/>
        </w:rPr>
        <w:t>as cheeses using raw or pasteur</w:t>
      </w:r>
      <w:r w:rsidR="001B1CCA">
        <w:rPr>
          <w:rFonts w:ascii="Calibri" w:hAnsi="Calibri" w:cs="Calibri"/>
          <w:lang w:val="en-GB"/>
        </w:rPr>
        <w:t>is</w:t>
      </w:r>
      <w:r w:rsidRPr="00500ECC">
        <w:rPr>
          <w:rFonts w:ascii="Calibri" w:hAnsi="Calibri" w:cs="Calibri"/>
          <w:lang w:val="en-GB"/>
        </w:rPr>
        <w:t>ed milk, and including the</w:t>
      </w:r>
      <w:r w:rsidR="001B1CCA">
        <w:rPr>
          <w:rFonts w:ascii="Calibri" w:hAnsi="Calibri" w:cs="Calibri"/>
          <w:lang w:val="en-GB"/>
        </w:rPr>
        <w:t xml:space="preserve"> addition of starter culture (i.e., s</w:t>
      </w:r>
      <w:r w:rsidR="006359FF">
        <w:rPr>
          <w:rFonts w:ascii="Calibri" w:hAnsi="Calibri" w:cs="Calibri"/>
          <w:lang w:val="en-GB"/>
        </w:rPr>
        <w:t>ix LAB strains with good acidification capacity</w:t>
      </w:r>
      <w:r w:rsidR="001B1CCA">
        <w:rPr>
          <w:rFonts w:ascii="Calibri" w:hAnsi="Calibri" w:cs="Calibri"/>
          <w:lang w:val="en-GB"/>
        </w:rPr>
        <w:t xml:space="preserve"> isolated from commercial Minas cheeses), </w:t>
      </w:r>
      <w:r w:rsidRPr="00500ECC">
        <w:rPr>
          <w:rFonts w:ascii="Calibri" w:hAnsi="Calibri" w:cs="Calibri"/>
          <w:lang w:val="en-GB"/>
        </w:rPr>
        <w:t xml:space="preserve">or without any addition. </w:t>
      </w:r>
      <w:r w:rsidR="00923382" w:rsidRPr="00923382">
        <w:rPr>
          <w:rFonts w:ascii="Calibri" w:hAnsi="Calibri" w:cs="Calibri"/>
          <w:lang w:val="en-GB"/>
        </w:rPr>
        <w:t xml:space="preserve">Ten </w:t>
      </w:r>
      <w:r w:rsidR="00C64DB7">
        <w:rPr>
          <w:rFonts w:ascii="Calibri" w:hAnsi="Calibri" w:cs="Calibri"/>
          <w:lang w:val="en-GB"/>
        </w:rPr>
        <w:t>litres</w:t>
      </w:r>
      <w:r w:rsidR="00923382">
        <w:rPr>
          <w:rFonts w:ascii="Calibri" w:hAnsi="Calibri" w:cs="Calibri"/>
          <w:lang w:val="en-GB"/>
        </w:rPr>
        <w:t xml:space="preserve"> of raw or pasteuri</w:t>
      </w:r>
      <w:r w:rsidR="00C64DB7">
        <w:rPr>
          <w:rFonts w:ascii="Calibri" w:hAnsi="Calibri" w:cs="Calibri"/>
          <w:lang w:val="en-GB"/>
        </w:rPr>
        <w:t>s</w:t>
      </w:r>
      <w:r w:rsidR="00923382">
        <w:rPr>
          <w:rFonts w:ascii="Calibri" w:hAnsi="Calibri" w:cs="Calibri"/>
          <w:lang w:val="en-GB"/>
        </w:rPr>
        <w:t xml:space="preserve">ed milk were heated to 34±1 ºC and added </w:t>
      </w:r>
      <w:r w:rsidR="00923382" w:rsidRPr="00923382">
        <w:rPr>
          <w:rFonts w:ascii="Calibri" w:hAnsi="Calibri" w:cs="Calibri"/>
          <w:lang w:val="en-GB"/>
        </w:rPr>
        <w:t>with 5 mL of CaCl</w:t>
      </w:r>
      <w:r w:rsidR="00923382" w:rsidRPr="00923382">
        <w:rPr>
          <w:rFonts w:ascii="Calibri" w:hAnsi="Calibri" w:cs="Calibri"/>
          <w:vertAlign w:val="subscript"/>
          <w:lang w:val="en-GB"/>
        </w:rPr>
        <w:t>2</w:t>
      </w:r>
      <w:r w:rsidR="00923382" w:rsidRPr="00923382">
        <w:rPr>
          <w:rFonts w:ascii="Calibri" w:hAnsi="Calibri" w:cs="Calibri"/>
          <w:lang w:val="en-GB"/>
        </w:rPr>
        <w:t xml:space="preserve">, 9 mL of commercial rennet (85% bovine pepsin + 15% bovine </w:t>
      </w:r>
      <w:proofErr w:type="spellStart"/>
      <w:r w:rsidR="00923382" w:rsidRPr="00923382">
        <w:rPr>
          <w:rFonts w:ascii="Calibri" w:hAnsi="Calibri" w:cs="Calibri"/>
          <w:lang w:val="en-GB"/>
        </w:rPr>
        <w:t>chymosin</w:t>
      </w:r>
      <w:proofErr w:type="spellEnd"/>
      <w:r w:rsidR="00923382">
        <w:rPr>
          <w:rFonts w:ascii="Calibri" w:hAnsi="Calibri" w:cs="Calibri"/>
          <w:lang w:val="en-GB"/>
        </w:rPr>
        <w:t>)</w:t>
      </w:r>
      <w:r w:rsidR="006359FF">
        <w:rPr>
          <w:rFonts w:ascii="Calibri" w:hAnsi="Calibri" w:cs="Calibri"/>
          <w:lang w:val="en-GB"/>
        </w:rPr>
        <w:t xml:space="preserve">, </w:t>
      </w:r>
      <w:r w:rsidR="00923382" w:rsidRPr="00923382">
        <w:rPr>
          <w:rFonts w:ascii="Calibri" w:hAnsi="Calibri" w:cs="Calibri"/>
          <w:i/>
          <w:lang w:val="en-GB"/>
        </w:rPr>
        <w:t xml:space="preserve">L. monocytogenes </w:t>
      </w:r>
      <w:r w:rsidR="00923382">
        <w:rPr>
          <w:rFonts w:ascii="Calibri" w:hAnsi="Calibri" w:cs="Calibri"/>
          <w:lang w:val="en-GB"/>
        </w:rPr>
        <w:t>strains 3968 –1/2b and 3973 – 4b (</w:t>
      </w:r>
      <w:r w:rsidR="00923382" w:rsidRPr="00923382">
        <w:rPr>
          <w:rFonts w:ascii="Calibri" w:hAnsi="Calibri" w:cs="Calibri"/>
          <w:lang w:val="en-GB"/>
        </w:rPr>
        <w:t>10</w:t>
      </w:r>
      <w:r w:rsidR="00923382" w:rsidRPr="00923382">
        <w:rPr>
          <w:rFonts w:ascii="Calibri" w:hAnsi="Calibri" w:cs="Calibri"/>
          <w:vertAlign w:val="superscript"/>
          <w:lang w:val="en-GB"/>
        </w:rPr>
        <w:t>5</w:t>
      </w:r>
      <w:r w:rsidR="00923382" w:rsidRPr="00923382">
        <w:rPr>
          <w:rFonts w:ascii="Calibri" w:hAnsi="Calibri" w:cs="Calibri"/>
          <w:lang w:val="en-GB"/>
        </w:rPr>
        <w:t xml:space="preserve"> - 10</w:t>
      </w:r>
      <w:r w:rsidR="00923382" w:rsidRPr="00923382">
        <w:rPr>
          <w:rFonts w:ascii="Calibri" w:hAnsi="Calibri" w:cs="Calibri"/>
          <w:vertAlign w:val="superscript"/>
          <w:lang w:val="en-GB"/>
        </w:rPr>
        <w:t>6</w:t>
      </w:r>
      <w:r w:rsidR="00923382" w:rsidRPr="00923382">
        <w:rPr>
          <w:rFonts w:ascii="Calibri" w:hAnsi="Calibri" w:cs="Calibri"/>
          <w:lang w:val="en-GB"/>
        </w:rPr>
        <w:t xml:space="preserve"> CFU/mL of milk</w:t>
      </w:r>
      <w:r w:rsidR="00923382">
        <w:rPr>
          <w:rFonts w:ascii="Calibri" w:hAnsi="Calibri" w:cs="Calibri"/>
          <w:lang w:val="en-GB"/>
        </w:rPr>
        <w:t>)</w:t>
      </w:r>
      <w:r w:rsidR="00923382" w:rsidRPr="00923382">
        <w:rPr>
          <w:rFonts w:ascii="Calibri" w:hAnsi="Calibri" w:cs="Calibri"/>
          <w:lang w:val="en-GB"/>
        </w:rPr>
        <w:t xml:space="preserve"> and/or </w:t>
      </w:r>
      <w:r w:rsidR="00923382">
        <w:rPr>
          <w:rFonts w:ascii="Calibri" w:hAnsi="Calibri" w:cs="Calibri"/>
          <w:lang w:val="en-GB"/>
        </w:rPr>
        <w:t>selected LAB (</w:t>
      </w:r>
      <w:r w:rsidR="00923382" w:rsidRPr="00923382">
        <w:rPr>
          <w:rFonts w:ascii="Calibri" w:hAnsi="Calibri" w:cs="Calibri"/>
          <w:lang w:val="en-GB"/>
        </w:rPr>
        <w:t>10</w:t>
      </w:r>
      <w:r w:rsidR="00923382" w:rsidRPr="00923382">
        <w:rPr>
          <w:rFonts w:ascii="Calibri" w:hAnsi="Calibri" w:cs="Calibri"/>
          <w:vertAlign w:val="superscript"/>
          <w:lang w:val="en-GB"/>
        </w:rPr>
        <w:t>6</w:t>
      </w:r>
      <w:r w:rsidR="00923382" w:rsidRPr="00923382">
        <w:rPr>
          <w:rFonts w:ascii="Calibri" w:hAnsi="Calibri" w:cs="Calibri"/>
          <w:lang w:val="en-GB"/>
        </w:rPr>
        <w:t xml:space="preserve"> - 10</w:t>
      </w:r>
      <w:r w:rsidR="00923382" w:rsidRPr="00923382">
        <w:rPr>
          <w:rFonts w:ascii="Calibri" w:hAnsi="Calibri" w:cs="Calibri"/>
          <w:vertAlign w:val="superscript"/>
          <w:lang w:val="en-GB"/>
        </w:rPr>
        <w:t>7</w:t>
      </w:r>
      <w:r w:rsidR="00923382" w:rsidRPr="00923382">
        <w:rPr>
          <w:rFonts w:ascii="Calibri" w:hAnsi="Calibri" w:cs="Calibri"/>
          <w:lang w:val="en-GB"/>
        </w:rPr>
        <w:t xml:space="preserve"> CFU/mL of milk</w:t>
      </w:r>
      <w:r w:rsidR="00923382">
        <w:rPr>
          <w:rFonts w:ascii="Calibri" w:hAnsi="Calibri" w:cs="Calibri"/>
          <w:lang w:val="en-GB"/>
        </w:rPr>
        <w:t>)</w:t>
      </w:r>
      <w:r w:rsidR="00923382" w:rsidRPr="00923382">
        <w:rPr>
          <w:rFonts w:ascii="Calibri" w:hAnsi="Calibri" w:cs="Calibri"/>
          <w:lang w:val="en-GB"/>
        </w:rPr>
        <w:t>, depending upon the treatment. After 40 min coagulation, curd cutting, slightly agitation and resting for 30 min, sodium chloride (2 g/L) was added and curd was allowed to rest for another 30 min. The whey was drained off and curd was placed into perforated mo</w:t>
      </w:r>
      <w:r w:rsidR="003C3C81">
        <w:rPr>
          <w:rFonts w:ascii="Calibri" w:hAnsi="Calibri" w:cs="Calibri"/>
          <w:lang w:val="en-GB"/>
        </w:rPr>
        <w:t>u</w:t>
      </w:r>
      <w:r w:rsidR="00923382" w:rsidRPr="00923382">
        <w:rPr>
          <w:rFonts w:ascii="Calibri" w:hAnsi="Calibri" w:cs="Calibri"/>
          <w:lang w:val="en-GB"/>
        </w:rPr>
        <w:t>lds. Cheeses were maintained at room temperature for 1 h for dripping, turned and left for an additional 1 h for final dripping. Un</w:t>
      </w:r>
      <w:r w:rsidR="00BC5586" w:rsidRPr="00923382">
        <w:rPr>
          <w:rFonts w:ascii="Calibri" w:hAnsi="Calibri" w:cs="Calibri"/>
          <w:lang w:val="en-GB"/>
        </w:rPr>
        <w:t>moulded</w:t>
      </w:r>
      <w:r w:rsidR="00923382" w:rsidRPr="00923382">
        <w:rPr>
          <w:rFonts w:ascii="Calibri" w:hAnsi="Calibri" w:cs="Calibri"/>
          <w:lang w:val="en-GB"/>
        </w:rPr>
        <w:t xml:space="preserve"> cheeses were packed in pl</w:t>
      </w:r>
      <w:r w:rsidR="003C3C81">
        <w:rPr>
          <w:rFonts w:ascii="Calibri" w:hAnsi="Calibri" w:cs="Calibri"/>
          <w:lang w:val="en-GB"/>
        </w:rPr>
        <w:t>astic bags and stored at 7</w:t>
      </w:r>
      <w:r w:rsidR="00923382">
        <w:rPr>
          <w:rFonts w:ascii="Calibri" w:hAnsi="Calibri" w:cs="Calibri"/>
          <w:lang w:val="en-GB"/>
        </w:rPr>
        <w:t>±1 º</w:t>
      </w:r>
      <w:r w:rsidR="00923382" w:rsidRPr="00923382">
        <w:rPr>
          <w:rFonts w:ascii="Calibri" w:hAnsi="Calibri" w:cs="Calibri"/>
          <w:lang w:val="en-GB"/>
        </w:rPr>
        <w:t>C for 15 days.</w:t>
      </w:r>
      <w:r w:rsidR="00082189" w:rsidRPr="00082189">
        <w:rPr>
          <w:lang w:val="en-GB"/>
        </w:rPr>
        <w:t xml:space="preserve"> </w:t>
      </w:r>
      <w:r w:rsidR="006359FF">
        <w:rPr>
          <w:rFonts w:ascii="Calibri" w:hAnsi="Calibri" w:cs="Calibri"/>
          <w:lang w:val="en-GB"/>
        </w:rPr>
        <w:t>Microbiological analyse</w:t>
      </w:r>
      <w:r w:rsidR="00082189" w:rsidRPr="00082189">
        <w:rPr>
          <w:rFonts w:ascii="Calibri" w:hAnsi="Calibri" w:cs="Calibri"/>
          <w:lang w:val="en-GB"/>
        </w:rPr>
        <w:t xml:space="preserve">s of </w:t>
      </w:r>
      <w:r w:rsidR="00082189">
        <w:rPr>
          <w:rFonts w:ascii="Calibri" w:hAnsi="Calibri" w:cs="Calibri"/>
          <w:lang w:val="en-GB"/>
        </w:rPr>
        <w:t xml:space="preserve">cheese </w:t>
      </w:r>
      <w:r w:rsidR="00082189" w:rsidRPr="00082189">
        <w:rPr>
          <w:rFonts w:ascii="Calibri" w:hAnsi="Calibri" w:cs="Calibri"/>
          <w:lang w:val="en-GB"/>
        </w:rPr>
        <w:t xml:space="preserve">at determined intervals during refrigerated shelf-life included LAB and </w:t>
      </w:r>
      <w:r w:rsidR="00082189" w:rsidRPr="00082189">
        <w:rPr>
          <w:rFonts w:ascii="Calibri" w:hAnsi="Calibri" w:cs="Calibri"/>
          <w:i/>
          <w:lang w:val="en-GB"/>
        </w:rPr>
        <w:t>L. monocytogenes</w:t>
      </w:r>
      <w:r w:rsidR="00082189" w:rsidRPr="00082189">
        <w:rPr>
          <w:rFonts w:ascii="Calibri" w:hAnsi="Calibri" w:cs="Calibri"/>
          <w:lang w:val="en-GB"/>
        </w:rPr>
        <w:t xml:space="preserve"> </w:t>
      </w:r>
      <w:r w:rsidR="00082189">
        <w:rPr>
          <w:rFonts w:ascii="Calibri" w:hAnsi="Calibri" w:cs="Calibri"/>
          <w:lang w:val="en-GB"/>
        </w:rPr>
        <w:t>counting (ln CFU/g).</w:t>
      </w:r>
      <w:r w:rsidR="00082189" w:rsidRPr="00082189">
        <w:rPr>
          <w:rFonts w:ascii="Calibri" w:hAnsi="Calibri" w:cs="Calibri"/>
          <w:lang w:val="en-GB"/>
        </w:rPr>
        <w:t xml:space="preserve"> Also, </w:t>
      </w:r>
      <w:r w:rsidR="00082189">
        <w:rPr>
          <w:rFonts w:ascii="Calibri" w:hAnsi="Calibri" w:cs="Calibri"/>
          <w:lang w:val="en-GB"/>
        </w:rPr>
        <w:t xml:space="preserve">cheese </w:t>
      </w:r>
      <w:r w:rsidR="00082189" w:rsidRPr="00082189">
        <w:rPr>
          <w:rFonts w:ascii="Calibri" w:hAnsi="Calibri" w:cs="Calibri"/>
          <w:lang w:val="en-GB"/>
        </w:rPr>
        <w:t>pH</w:t>
      </w:r>
      <w:r w:rsidR="003C3C81">
        <w:rPr>
          <w:rFonts w:ascii="Calibri" w:hAnsi="Calibri" w:cs="Calibri"/>
          <w:lang w:val="en-GB"/>
        </w:rPr>
        <w:t>, water activity (Aw)</w:t>
      </w:r>
      <w:r w:rsidR="00082189">
        <w:rPr>
          <w:rFonts w:ascii="Calibri" w:hAnsi="Calibri" w:cs="Calibri"/>
          <w:lang w:val="en-GB"/>
        </w:rPr>
        <w:t xml:space="preserve"> and temperature were measured.</w:t>
      </w:r>
    </w:p>
    <w:p w:rsidR="00BC5586" w:rsidRDefault="00BC5586" w:rsidP="00BC5586">
      <w:pPr>
        <w:autoSpaceDE w:val="0"/>
        <w:autoSpaceDN w:val="0"/>
        <w:adjustRightInd w:val="0"/>
        <w:spacing w:before="0" w:after="0"/>
        <w:rPr>
          <w:rFonts w:ascii="Calibri" w:hAnsi="Calibri" w:cs="Calibri"/>
          <w:lang w:val="en-GB"/>
        </w:rPr>
      </w:pPr>
    </w:p>
    <w:p w:rsidR="00BC5586" w:rsidRDefault="00BC5586" w:rsidP="00BC5586">
      <w:pPr>
        <w:autoSpaceDE w:val="0"/>
        <w:autoSpaceDN w:val="0"/>
        <w:adjustRightInd w:val="0"/>
        <w:spacing w:before="0"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</w:t>
      </w:r>
      <w:r w:rsidRPr="00BC5586">
        <w:rPr>
          <w:rFonts w:ascii="Calibri" w:hAnsi="Calibri" w:cs="Calibri"/>
          <w:lang w:val="en-GB"/>
        </w:rPr>
        <w:t xml:space="preserve">aking into consideration </w:t>
      </w:r>
      <w:r>
        <w:rPr>
          <w:rFonts w:ascii="Calibri" w:hAnsi="Calibri" w:cs="Calibri"/>
          <w:lang w:val="en-GB"/>
        </w:rPr>
        <w:t>that</w:t>
      </w:r>
      <w:r w:rsidRPr="00BC5586">
        <w:rPr>
          <w:rFonts w:ascii="Calibri" w:hAnsi="Calibri" w:cs="Calibri"/>
          <w:lang w:val="en-GB"/>
        </w:rPr>
        <w:t xml:space="preserve"> pH and </w:t>
      </w:r>
      <w:r>
        <w:rPr>
          <w:rFonts w:ascii="Calibri" w:hAnsi="Calibri" w:cs="Calibri"/>
          <w:lang w:val="en-GB"/>
        </w:rPr>
        <w:t>Aw</w:t>
      </w:r>
      <w:r w:rsidRPr="00BC5586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continuously drop </w:t>
      </w:r>
      <w:r w:rsidRPr="00BC5586">
        <w:rPr>
          <w:rFonts w:ascii="Calibri" w:hAnsi="Calibri" w:cs="Calibri"/>
          <w:lang w:val="en-GB"/>
        </w:rPr>
        <w:t xml:space="preserve">during storage, the kinetic parameters of </w:t>
      </w:r>
      <w:r w:rsidRPr="00EF0E54">
        <w:rPr>
          <w:rFonts w:ascii="Calibri" w:hAnsi="Calibri" w:cs="Calibri"/>
          <w:i/>
          <w:lang w:val="en-GB"/>
        </w:rPr>
        <w:t xml:space="preserve">L. monocytogenes </w:t>
      </w:r>
      <w:r w:rsidRPr="00BC5586">
        <w:rPr>
          <w:rFonts w:ascii="Calibri" w:hAnsi="Calibri" w:cs="Calibri"/>
          <w:lang w:val="en-GB"/>
        </w:rPr>
        <w:t>in fermenting cheese</w:t>
      </w:r>
      <w:r w:rsidR="00EF0E54">
        <w:rPr>
          <w:rFonts w:ascii="Calibri" w:hAnsi="Calibri" w:cs="Calibri"/>
          <w:lang w:val="en-GB"/>
        </w:rPr>
        <w:t>, for each of the four treatments,</w:t>
      </w:r>
      <w:r w:rsidRPr="00BC5586">
        <w:rPr>
          <w:rFonts w:ascii="Calibri" w:hAnsi="Calibri" w:cs="Calibri"/>
          <w:lang w:val="en-GB"/>
        </w:rPr>
        <w:t xml:space="preserve"> were determined by dynamic kinetic analysis; this is, by simultaneously fitting a primary growth model</w:t>
      </w:r>
      <w:r w:rsidR="008763DF">
        <w:rPr>
          <w:rFonts w:ascii="Calibri" w:hAnsi="Calibri" w:cs="Calibri"/>
          <w:lang w:val="en-GB"/>
        </w:rPr>
        <w:t xml:space="preserve"> (Huang model, Eq. 1)</w:t>
      </w:r>
      <w:r w:rsidRPr="00BC5586">
        <w:rPr>
          <w:rFonts w:ascii="Calibri" w:hAnsi="Calibri" w:cs="Calibri"/>
          <w:lang w:val="en-GB"/>
        </w:rPr>
        <w:t xml:space="preserve"> in differential form with an explicit secondary model of the specific growth rate as a function of the cheese </w:t>
      </w:r>
      <w:r w:rsidR="008763DF">
        <w:rPr>
          <w:rFonts w:ascii="Calibri" w:hAnsi="Calibri" w:cs="Calibri"/>
          <w:lang w:val="en-GB"/>
        </w:rPr>
        <w:t>pH and Aw (Cardinal parameter model, Eq. 2)</w:t>
      </w:r>
      <w:r w:rsidR="00A15900">
        <w:rPr>
          <w:rFonts w:ascii="Calibri" w:hAnsi="Calibri" w:cs="Calibri"/>
          <w:lang w:val="en-GB"/>
        </w:rPr>
        <w:t>,</w:t>
      </w:r>
    </w:p>
    <w:p w:rsidR="00BC5586" w:rsidRDefault="008763DF" w:rsidP="008763D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dt</m:t>
            </m:r>
          </m:den>
        </m:f>
        <m:r>
          <w:rPr>
            <w:rFonts w:ascii="Cambria Math" w:hAnsi="Cambria Math" w:cstheme="minorHAnsi"/>
            <w:sz w:val="22"/>
            <w:szCs w:val="22"/>
            <w:lang w:val="en-GB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1+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-4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)</m:t>
                </m:r>
              </m:sup>
            </m:sSup>
          </m:den>
        </m:f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Y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max</m:t>
                    </m:r>
                  </m:sub>
                </m:sSub>
              </m:sup>
            </m:sSup>
          </m:e>
        </m:d>
      </m:oMath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ab/>
        <w:t>(Eq. 1)</w:t>
      </w:r>
    </w:p>
    <w:p w:rsidR="00BC5586" w:rsidRPr="00A15900" w:rsidRDefault="00BC5586" w:rsidP="00EF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15900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A15900" w:rsidRPr="00A15900"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 w:rsid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15900" w:rsidRPr="00A15900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A15900"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max</m:t>
            </m:r>
          </m:sub>
        </m:sSub>
        <m:r>
          <w:rPr>
            <w:rFonts w:ascii="Cambria Math" w:hAnsi="Cambria Math" w:cstheme="minorHAnsi"/>
            <w:sz w:val="22"/>
            <w:szCs w:val="22"/>
            <w:lang w:val="en-GB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opt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pH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pH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min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pH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pH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max</m:t>
                        </m:r>
                      </m:sub>
                    </m:sSub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pH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pH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min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pH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pH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pH</m:t>
                        </m:r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pH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opt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>2</m:t>
                    </m:r>
                  </m:sup>
                </m:sSup>
              </m:den>
            </m:f>
          </m:e>
        </m:d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w</m:t>
                    </m:r>
                  </m:sub>
                </m:sSub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w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min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w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GB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min</m:t>
                    </m:r>
                  </m:sub>
                </m:sSub>
              </m:den>
            </m:f>
          </m:e>
        </m:d>
      </m:oMath>
      <w:r w:rsidRPr="00A15900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763DF"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15900">
        <w:rPr>
          <w:rFonts w:asciiTheme="minorHAnsi" w:hAnsiTheme="minorHAnsi" w:cstheme="minorHAnsi"/>
          <w:sz w:val="22"/>
          <w:szCs w:val="22"/>
          <w:lang w:val="en-GB"/>
        </w:rPr>
        <w:t>(Eq. 2)</w:t>
      </w:r>
      <w:r w:rsidR="00EF0E54" w:rsidRPr="00A15900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310208" w:rsidRPr="00A15900" w:rsidRDefault="00A15900" w:rsidP="00A15900">
      <w:pPr>
        <w:spacing w:before="0" w:after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w</w:t>
      </w:r>
      <w:r w:rsidR="00310208" w:rsidRPr="00A15900">
        <w:rPr>
          <w:rFonts w:asciiTheme="minorHAnsi" w:hAnsiTheme="minorHAnsi" w:cstheme="minorHAnsi"/>
          <w:lang w:val="en-GB"/>
        </w:rPr>
        <w:t>here Y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0</w:t>
      </w:r>
      <w:r w:rsidR="00310208" w:rsidRPr="00A1590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Y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max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and Y are the natural </w:t>
      </w:r>
      <w:r>
        <w:rPr>
          <w:rFonts w:asciiTheme="minorHAnsi" w:hAnsiTheme="minorHAnsi" w:cstheme="minorHAnsi"/>
          <w:lang w:val="en-GB"/>
        </w:rPr>
        <w:t>log</w:t>
      </w:r>
      <w:r w:rsidR="00310208" w:rsidRPr="00A15900">
        <w:rPr>
          <w:rFonts w:asciiTheme="minorHAnsi" w:hAnsiTheme="minorHAnsi" w:cstheme="minorHAnsi"/>
          <w:lang w:val="en-GB"/>
        </w:rPr>
        <w:t xml:space="preserve"> of bacterial counts at time 0, maximum level and time t; </w:t>
      </w:r>
      <w:r w:rsidR="00310208" w:rsidRPr="00A15900">
        <w:rPr>
          <w:rFonts w:asciiTheme="minorHAnsi" w:hAnsiTheme="minorHAnsi" w:cstheme="minorHAnsi"/>
        </w:rPr>
        <w:t>μ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max</w:t>
      </w:r>
      <w:r w:rsidR="00310208" w:rsidRPr="00A15900">
        <w:rPr>
          <w:rFonts w:asciiTheme="minorHAnsi" w:hAnsiTheme="minorHAnsi" w:cstheme="minorHAnsi"/>
          <w:lang w:val="en-GB"/>
        </w:rPr>
        <w:t xml:space="preserve"> is the specific growth rate (ln CFU/g h</w:t>
      </w:r>
      <w:r w:rsidR="00310208" w:rsidRPr="00A15900">
        <w:rPr>
          <w:rFonts w:asciiTheme="minorHAnsi" w:hAnsiTheme="minorHAnsi" w:cstheme="minorHAnsi"/>
          <w:vertAlign w:val="superscript"/>
          <w:lang w:val="en-GB"/>
        </w:rPr>
        <w:t>-1</w:t>
      </w:r>
      <w:r w:rsidR="00310208" w:rsidRPr="00A15900">
        <w:rPr>
          <w:rFonts w:asciiTheme="minorHAnsi" w:hAnsiTheme="minorHAnsi" w:cstheme="minorHAnsi"/>
          <w:lang w:val="en-GB"/>
        </w:rPr>
        <w:t xml:space="preserve">); </w:t>
      </w:r>
      <w:r w:rsidRPr="00A15900">
        <w:rPr>
          <w:rFonts w:asciiTheme="minorHAnsi" w:hAnsiTheme="minorHAnsi" w:cstheme="minorHAnsi"/>
          <w:lang w:val="en-GB"/>
        </w:rPr>
        <w:t>while</w:t>
      </w:r>
      <w:r w:rsidR="00310208" w:rsidRPr="00A1590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min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max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are the pH below or above which no growth occurs,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opt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is the pH at which the specific growth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μ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max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is optimal</w:t>
      </w:r>
      <w:r>
        <w:rPr>
          <w:rFonts w:asciiTheme="minorHAnsi" w:hAnsiTheme="minorHAnsi" w:cstheme="minorHAnsi"/>
          <w:lang w:val="en-GB"/>
        </w:rPr>
        <w:t>;</w:t>
      </w:r>
      <w:r w:rsidR="00310208" w:rsidRPr="00A15900">
        <w:rPr>
          <w:rFonts w:asciiTheme="minorHAnsi" w:hAnsiTheme="minorHAnsi" w:cstheme="minorHAnsi"/>
          <w:lang w:val="en-GB"/>
        </w:rPr>
        <w:t xml:space="preserve"> a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 xml:space="preserve">w min </w:t>
      </w:r>
      <w:r w:rsidR="00310208" w:rsidRPr="00A15900">
        <w:rPr>
          <w:rFonts w:asciiTheme="minorHAnsi" w:hAnsiTheme="minorHAnsi" w:cstheme="minorHAnsi"/>
          <w:lang w:val="en-GB"/>
        </w:rPr>
        <w:t>is the water activity below which no growth occurs</w:t>
      </w:r>
      <w:r w:rsidRPr="00A15900">
        <w:rPr>
          <w:rFonts w:asciiTheme="minorHAnsi" w:hAnsiTheme="minorHAnsi" w:cstheme="minorHAnsi"/>
          <w:lang w:val="en-GB"/>
        </w:rPr>
        <w:t>;</w:t>
      </w:r>
      <w:r w:rsidR="00310208" w:rsidRPr="00A1590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μ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opt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is the optimum growth rate at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opt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aw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opt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 (fixed at 1.0). Because the cardinal parameters of </w:t>
      </w:r>
      <w:r w:rsidR="00310208" w:rsidRPr="00A15900">
        <w:rPr>
          <w:rFonts w:asciiTheme="minorHAnsi" w:hAnsiTheme="minorHAnsi" w:cstheme="minorHAnsi"/>
          <w:i/>
          <w:lang w:val="en-GB"/>
        </w:rPr>
        <w:t>L. monocytogenes</w:t>
      </w:r>
      <w:r w:rsidR="00310208" w:rsidRPr="00A15900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min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opt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max</w:t>
      </w:r>
      <w:proofErr w:type="spellEnd"/>
      <w:r w:rsidR="00310208" w:rsidRPr="00A15900">
        <w:rPr>
          <w:rFonts w:asciiTheme="minorHAnsi" w:hAnsiTheme="minorHAnsi" w:cstheme="minorHAnsi"/>
          <w:vertAlign w:val="subscript"/>
          <w:lang w:val="en-GB"/>
        </w:rPr>
        <w:t xml:space="preserve"> </w:t>
      </w:r>
      <w:r w:rsidR="00310208" w:rsidRPr="00A15900">
        <w:rPr>
          <w:rFonts w:asciiTheme="minorHAnsi" w:hAnsiTheme="minorHAnsi" w:cstheme="minorHAnsi"/>
          <w:lang w:val="en-GB"/>
        </w:rPr>
        <w:t xml:space="preserve">and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a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wmin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>) are not estimable from th</w:t>
      </w:r>
      <w:r w:rsidR="00285176">
        <w:rPr>
          <w:rFonts w:asciiTheme="minorHAnsi" w:hAnsiTheme="minorHAnsi" w:cstheme="minorHAnsi"/>
          <w:lang w:val="en-GB"/>
        </w:rPr>
        <w:t>e data – as the monitored pH (7.0</w:t>
      </w:r>
      <w:r w:rsidR="00310208" w:rsidRPr="00A15900">
        <w:rPr>
          <w:rFonts w:asciiTheme="minorHAnsi" w:hAnsiTheme="minorHAnsi" w:cstheme="minorHAnsi"/>
          <w:lang w:val="en-GB"/>
        </w:rPr>
        <w:t xml:space="preserve"> to 4.7) and a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w</w:t>
      </w:r>
      <w:r w:rsidR="00310208" w:rsidRPr="00A15900">
        <w:rPr>
          <w:rFonts w:asciiTheme="minorHAnsi" w:hAnsiTheme="minorHAnsi" w:cstheme="minorHAnsi"/>
          <w:lang w:val="en-GB"/>
        </w:rPr>
        <w:t xml:space="preserve"> (0.999 to 0.993) of the Minas cheese correspond to narrow-ranged suboptimal values, they wer</w:t>
      </w:r>
      <w:r w:rsidRPr="00A15900">
        <w:rPr>
          <w:rFonts w:asciiTheme="minorHAnsi" w:hAnsiTheme="minorHAnsi" w:cstheme="minorHAnsi"/>
          <w:lang w:val="en-GB"/>
        </w:rPr>
        <w:t xml:space="preserve">e set </w:t>
      </w:r>
      <w:r>
        <w:rPr>
          <w:rFonts w:asciiTheme="minorHAnsi" w:hAnsiTheme="minorHAnsi" w:cstheme="minorHAnsi"/>
          <w:lang w:val="en-GB"/>
        </w:rPr>
        <w:t>to</w:t>
      </w:r>
      <w:r w:rsidR="006359FF">
        <w:rPr>
          <w:rFonts w:asciiTheme="minorHAnsi" w:hAnsiTheme="minorHAnsi" w:cstheme="minorHAnsi"/>
          <w:lang w:val="en-GB"/>
        </w:rPr>
        <w:t xml:space="preserve"> values determined from liquid media (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min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=4.71;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opt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=7.10;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pH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max</w:t>
      </w:r>
      <w:proofErr w:type="spellEnd"/>
      <w:r w:rsidR="00310208" w:rsidRPr="00A15900">
        <w:rPr>
          <w:rFonts w:asciiTheme="minorHAnsi" w:hAnsiTheme="minorHAnsi" w:cstheme="minorHAnsi"/>
          <w:lang w:val="en-GB"/>
        </w:rPr>
        <w:t xml:space="preserve">=9.61; </w:t>
      </w:r>
      <w:proofErr w:type="spellStart"/>
      <w:r w:rsidR="00310208" w:rsidRPr="00A15900">
        <w:rPr>
          <w:rFonts w:asciiTheme="minorHAnsi" w:hAnsiTheme="minorHAnsi" w:cstheme="minorHAnsi"/>
          <w:lang w:val="en-GB"/>
        </w:rPr>
        <w:t>a</w:t>
      </w:r>
      <w:r w:rsidR="00310208" w:rsidRPr="00A15900">
        <w:rPr>
          <w:rFonts w:asciiTheme="minorHAnsi" w:hAnsiTheme="minorHAnsi" w:cstheme="minorHAnsi"/>
          <w:vertAlign w:val="subscript"/>
          <w:lang w:val="en-GB"/>
        </w:rPr>
        <w:t>wmin</w:t>
      </w:r>
      <w:proofErr w:type="spellEnd"/>
      <w:r w:rsidR="006359FF">
        <w:rPr>
          <w:rFonts w:asciiTheme="minorHAnsi" w:hAnsiTheme="minorHAnsi" w:cstheme="minorHAnsi"/>
          <w:lang w:val="en-GB"/>
        </w:rPr>
        <w:t>=0.913).</w:t>
      </w:r>
    </w:p>
    <w:p w:rsidR="000651D7" w:rsidRPr="00411551" w:rsidRDefault="000651D7" w:rsidP="000651D7">
      <w:pPr>
        <w:pStyle w:val="Cabealho1"/>
        <w:numPr>
          <w:ilvl w:val="0"/>
          <w:numId w:val="0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Results</w:t>
      </w:r>
    </w:p>
    <w:p w:rsidR="00285176" w:rsidRPr="00285176" w:rsidRDefault="00C81309" w:rsidP="004C6832">
      <w:pPr>
        <w:rPr>
          <w:rFonts w:asciiTheme="minorHAnsi" w:hAnsiTheme="minorHAnsi" w:cstheme="minorHAnsi"/>
          <w:szCs w:val="20"/>
          <w:lang w:val="en-GB"/>
        </w:rPr>
      </w:pPr>
      <w:r w:rsidRPr="00C81309">
        <w:rPr>
          <w:rFonts w:asciiTheme="minorHAnsi" w:hAnsiTheme="minorHAnsi" w:cstheme="minorHAnsi"/>
          <w:lang w:val="en-GB"/>
        </w:rPr>
        <w:t xml:space="preserve">Since the LAB strains, making up the starter culture, were purposely chosen for their high acidifying capacity, the treatments with starters, added either in raw or pasteurised milk, caused a greater drop in cheese pH than those treatments </w:t>
      </w:r>
      <w:r w:rsidR="005123C8">
        <w:rPr>
          <w:rFonts w:asciiTheme="minorHAnsi" w:hAnsiTheme="minorHAnsi" w:cstheme="minorHAnsi"/>
          <w:lang w:val="en-GB"/>
        </w:rPr>
        <w:t>with autochthonous LAB</w:t>
      </w:r>
      <w:r w:rsidRPr="00C81309">
        <w:rPr>
          <w:rFonts w:asciiTheme="minorHAnsi" w:hAnsiTheme="minorHAnsi" w:cstheme="minorHAnsi"/>
          <w:lang w:val="en-GB"/>
        </w:rPr>
        <w:t xml:space="preserve"> (Fig. 1).</w:t>
      </w:r>
      <w:r>
        <w:rPr>
          <w:rFonts w:asciiTheme="minorHAnsi" w:hAnsiTheme="minorHAnsi" w:cstheme="minorHAnsi"/>
          <w:lang w:val="en-GB"/>
        </w:rPr>
        <w:t xml:space="preserve"> </w:t>
      </w:r>
      <w:r w:rsidRPr="00EF7D35">
        <w:rPr>
          <w:rFonts w:asciiTheme="minorHAnsi" w:hAnsiTheme="minorHAnsi" w:cstheme="minorHAnsi"/>
          <w:lang w:val="en-GB"/>
        </w:rPr>
        <w:t xml:space="preserve">Thus, </w:t>
      </w:r>
      <w:r w:rsidR="005123C8">
        <w:rPr>
          <w:rFonts w:asciiTheme="minorHAnsi" w:hAnsiTheme="minorHAnsi" w:cstheme="minorHAnsi"/>
          <w:lang w:val="en-GB"/>
        </w:rPr>
        <w:t>in competition with the selected</w:t>
      </w:r>
      <w:r w:rsidR="00EF7D35">
        <w:rPr>
          <w:rFonts w:asciiTheme="minorHAnsi" w:hAnsiTheme="minorHAnsi" w:cstheme="minorHAnsi"/>
          <w:lang w:val="en-GB"/>
        </w:rPr>
        <w:t xml:space="preserve"> LAB strains</w:t>
      </w:r>
      <w:r w:rsidR="005123C8">
        <w:rPr>
          <w:rFonts w:asciiTheme="minorHAnsi" w:hAnsiTheme="minorHAnsi" w:cstheme="minorHAnsi"/>
          <w:lang w:val="en-GB"/>
        </w:rPr>
        <w:t xml:space="preserve">, </w:t>
      </w:r>
      <w:r w:rsidR="00D83B52" w:rsidRPr="00D83B52">
        <w:rPr>
          <w:rFonts w:asciiTheme="minorHAnsi" w:hAnsiTheme="minorHAnsi" w:cstheme="minorHAnsi"/>
          <w:i/>
          <w:lang w:val="en-GB"/>
        </w:rPr>
        <w:t>L. monocytogenes</w:t>
      </w:r>
      <w:r w:rsidR="005123C8">
        <w:rPr>
          <w:rFonts w:asciiTheme="minorHAnsi" w:hAnsiTheme="minorHAnsi" w:cstheme="minorHAnsi"/>
          <w:lang w:val="en-GB"/>
        </w:rPr>
        <w:t xml:space="preserve"> suffered a retarded growth, </w:t>
      </w:r>
      <w:r w:rsidR="00C863AE">
        <w:rPr>
          <w:rFonts w:asciiTheme="minorHAnsi" w:hAnsiTheme="minorHAnsi" w:cstheme="minorHAnsi"/>
          <w:lang w:val="en-GB"/>
        </w:rPr>
        <w:t>as suggested by</w:t>
      </w:r>
      <w:r w:rsidR="00EF7D35">
        <w:rPr>
          <w:rFonts w:asciiTheme="minorHAnsi" w:hAnsiTheme="minorHAnsi" w:cstheme="minorHAnsi"/>
          <w:lang w:val="en-GB"/>
        </w:rPr>
        <w:t xml:space="preserve"> </w:t>
      </w:r>
      <w:r w:rsidR="00D83B52">
        <w:rPr>
          <w:rFonts w:asciiTheme="minorHAnsi" w:hAnsiTheme="minorHAnsi" w:cstheme="minorHAnsi"/>
          <w:lang w:val="en-GB"/>
        </w:rPr>
        <w:t xml:space="preserve">the </w:t>
      </w:r>
      <w:r w:rsidR="005123C8">
        <w:rPr>
          <w:rFonts w:asciiTheme="minorHAnsi" w:hAnsiTheme="minorHAnsi" w:cstheme="minorHAnsi"/>
          <w:lang w:val="en-GB"/>
        </w:rPr>
        <w:t xml:space="preserve">change in </w:t>
      </w:r>
      <w:r w:rsidR="00EF7D35">
        <w:rPr>
          <w:rFonts w:asciiTheme="minorHAnsi" w:hAnsiTheme="minorHAnsi" w:cstheme="minorHAnsi"/>
          <w:lang w:val="en-GB"/>
        </w:rPr>
        <w:t xml:space="preserve">optimum growth rate </w:t>
      </w:r>
      <w:proofErr w:type="spellStart"/>
      <w:r w:rsidR="00EF7D35" w:rsidRPr="0071016F">
        <w:rPr>
          <w:rFonts w:asciiTheme="minorHAnsi" w:hAnsiTheme="minorHAnsi" w:cstheme="minorHAnsi"/>
          <w:szCs w:val="20"/>
          <w:lang w:val="en-IE"/>
        </w:rPr>
        <w:t>μ</w:t>
      </w:r>
      <w:r w:rsidR="00EF7D35" w:rsidRPr="0071016F">
        <w:rPr>
          <w:rFonts w:asciiTheme="minorHAnsi" w:hAnsiTheme="minorHAnsi" w:cstheme="minorHAnsi"/>
          <w:szCs w:val="20"/>
          <w:vertAlign w:val="subscript"/>
          <w:lang w:val="en-IE"/>
        </w:rPr>
        <w:t>opt</w:t>
      </w:r>
      <w:proofErr w:type="spellEnd"/>
      <w:r w:rsidR="00EF7D35">
        <w:rPr>
          <w:rFonts w:asciiTheme="minorHAnsi" w:hAnsiTheme="minorHAnsi" w:cstheme="minorHAnsi"/>
          <w:szCs w:val="20"/>
          <w:lang w:val="en-IE"/>
        </w:rPr>
        <w:t xml:space="preserve"> in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 pasteurised</w:t>
      </w:r>
      <w:r w:rsidR="00EF7D35">
        <w:rPr>
          <w:rFonts w:asciiTheme="minorHAnsi" w:hAnsiTheme="minorHAnsi" w:cstheme="minorHAnsi"/>
          <w:szCs w:val="20"/>
          <w:lang w:val="en-IE"/>
        </w:rPr>
        <w:t xml:space="preserve"> cheese 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without starter, </w:t>
      </w:r>
      <w:r w:rsidR="005123C8">
        <w:rPr>
          <w:rFonts w:asciiTheme="minorHAnsi" w:hAnsiTheme="minorHAnsi" w:cstheme="minorHAnsi"/>
          <w:szCs w:val="20"/>
          <w:lang w:val="en-IE"/>
        </w:rPr>
        <w:t xml:space="preserve">from </w:t>
      </w:r>
      <w:r w:rsidR="00EF7D35">
        <w:rPr>
          <w:rFonts w:asciiTheme="minorHAnsi" w:hAnsiTheme="minorHAnsi" w:cstheme="minorHAnsi"/>
          <w:szCs w:val="20"/>
          <w:lang w:val="en-IE"/>
        </w:rPr>
        <w:t xml:space="preserve">0.0405 </w:t>
      </w:r>
      <w:r w:rsidR="00EF7D35" w:rsidRPr="0071016F">
        <w:rPr>
          <w:rFonts w:asciiTheme="minorHAnsi" w:hAnsiTheme="minorHAnsi" w:cstheme="minorHAnsi"/>
          <w:szCs w:val="20"/>
          <w:lang w:val="en-IE"/>
        </w:rPr>
        <w:t>ln CFU/g h</w:t>
      </w:r>
      <w:r w:rsidR="00EF7D35" w:rsidRPr="0071016F">
        <w:rPr>
          <w:rFonts w:asciiTheme="minorHAnsi" w:hAnsiTheme="minorHAnsi" w:cstheme="minorHAnsi"/>
          <w:szCs w:val="20"/>
          <w:vertAlign w:val="superscript"/>
          <w:lang w:val="en-IE"/>
        </w:rPr>
        <w:t>-1</w:t>
      </w:r>
      <w:r w:rsidR="002F01CF">
        <w:rPr>
          <w:rFonts w:asciiTheme="minorHAnsi" w:hAnsiTheme="minorHAnsi" w:cstheme="minorHAnsi"/>
          <w:szCs w:val="20"/>
          <w:lang w:val="en-IE"/>
        </w:rPr>
        <w:t xml:space="preserve"> </w:t>
      </w:r>
      <w:r w:rsidR="00EF7D35">
        <w:rPr>
          <w:rFonts w:asciiTheme="minorHAnsi" w:hAnsiTheme="minorHAnsi" w:cstheme="minorHAnsi"/>
          <w:szCs w:val="20"/>
          <w:lang w:val="en-IE"/>
        </w:rPr>
        <w:t xml:space="preserve">to 0.0336 </w:t>
      </w:r>
      <w:r w:rsidR="00EF7D35" w:rsidRPr="0071016F">
        <w:rPr>
          <w:rFonts w:asciiTheme="minorHAnsi" w:hAnsiTheme="minorHAnsi" w:cstheme="minorHAnsi"/>
          <w:szCs w:val="20"/>
          <w:lang w:val="en-IE"/>
        </w:rPr>
        <w:t>ln CFU/g h</w:t>
      </w:r>
      <w:r w:rsidR="00EF7D35" w:rsidRPr="0071016F">
        <w:rPr>
          <w:rFonts w:asciiTheme="minorHAnsi" w:hAnsiTheme="minorHAnsi" w:cstheme="minorHAnsi"/>
          <w:szCs w:val="20"/>
          <w:vertAlign w:val="superscript"/>
          <w:lang w:val="en-IE"/>
        </w:rPr>
        <w:t>-1</w:t>
      </w:r>
      <w:r w:rsidR="00EF7D35">
        <w:rPr>
          <w:rFonts w:asciiTheme="minorHAnsi" w:hAnsiTheme="minorHAnsi" w:cstheme="minorHAnsi"/>
          <w:szCs w:val="20"/>
          <w:lang w:val="en-IE"/>
        </w:rPr>
        <w:t xml:space="preserve"> when selected LAB were added.</w:t>
      </w:r>
      <w:r w:rsidR="0052318D">
        <w:rPr>
          <w:rFonts w:asciiTheme="minorHAnsi" w:hAnsiTheme="minorHAnsi" w:cstheme="minorHAnsi"/>
          <w:szCs w:val="20"/>
          <w:lang w:val="en-IE"/>
        </w:rPr>
        <w:t xml:space="preserve"> The same trend was observed in raw milk cheeses, </w:t>
      </w:r>
      <w:r w:rsidR="00D83B52">
        <w:rPr>
          <w:rFonts w:asciiTheme="minorHAnsi" w:hAnsiTheme="minorHAnsi" w:cstheme="minorHAnsi"/>
          <w:szCs w:val="20"/>
          <w:lang w:val="en-IE"/>
        </w:rPr>
        <w:t>whereby the</w:t>
      </w:r>
      <w:r w:rsidR="0052318D">
        <w:rPr>
          <w:rFonts w:asciiTheme="minorHAnsi" w:hAnsiTheme="minorHAnsi" w:cstheme="minorHAnsi"/>
          <w:szCs w:val="20"/>
          <w:lang w:val="en-IE"/>
        </w:rPr>
        <w:t xml:space="preserve"> 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growth of </w:t>
      </w:r>
      <w:r w:rsidR="00D83B52" w:rsidRPr="00D83B52">
        <w:rPr>
          <w:rFonts w:asciiTheme="minorHAnsi" w:hAnsiTheme="minorHAnsi" w:cstheme="minorHAnsi"/>
          <w:i/>
          <w:szCs w:val="20"/>
          <w:lang w:val="en-IE"/>
        </w:rPr>
        <w:t>L. monocytogenes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 in cheeses with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 starter 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(0.0281 </w:t>
      </w:r>
      <w:r w:rsidR="00123E28" w:rsidRPr="0071016F">
        <w:rPr>
          <w:rFonts w:asciiTheme="minorHAnsi" w:hAnsiTheme="minorHAnsi" w:cstheme="minorHAnsi"/>
          <w:szCs w:val="20"/>
          <w:lang w:val="en-IE"/>
        </w:rPr>
        <w:t>ln CFU/g h</w:t>
      </w:r>
      <w:r w:rsidR="00123E28" w:rsidRPr="0071016F">
        <w:rPr>
          <w:rFonts w:asciiTheme="minorHAnsi" w:hAnsiTheme="minorHAnsi" w:cstheme="minorHAnsi"/>
          <w:szCs w:val="20"/>
          <w:vertAlign w:val="superscript"/>
          <w:lang w:val="en-IE"/>
        </w:rPr>
        <w:t>-</w:t>
      </w:r>
      <w:r w:rsidR="00123E28" w:rsidRPr="00123E28">
        <w:rPr>
          <w:rFonts w:asciiTheme="minorHAnsi" w:hAnsiTheme="minorHAnsi" w:cstheme="minorHAnsi"/>
          <w:szCs w:val="20"/>
          <w:vertAlign w:val="superscript"/>
          <w:lang w:val="en-IE"/>
        </w:rPr>
        <w:t>1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) </w:t>
      </w:r>
      <w:r w:rsidR="00D83B52" w:rsidRPr="00123E28">
        <w:rPr>
          <w:rFonts w:asciiTheme="minorHAnsi" w:hAnsiTheme="minorHAnsi" w:cstheme="minorHAnsi"/>
          <w:szCs w:val="20"/>
          <w:lang w:val="en-IE"/>
        </w:rPr>
        <w:t>was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 </w:t>
      </w:r>
      <w:r w:rsidR="00123E28">
        <w:rPr>
          <w:rFonts w:asciiTheme="minorHAnsi" w:hAnsiTheme="minorHAnsi" w:cstheme="minorHAnsi"/>
          <w:szCs w:val="20"/>
          <w:lang w:val="en-IE"/>
        </w:rPr>
        <w:t>slower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 than in those with</w:t>
      </w:r>
      <w:r w:rsidR="00123E28">
        <w:rPr>
          <w:rFonts w:asciiTheme="minorHAnsi" w:hAnsiTheme="minorHAnsi" w:cstheme="minorHAnsi"/>
          <w:szCs w:val="20"/>
          <w:lang w:val="en-IE"/>
        </w:rPr>
        <w:t>out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 starter 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(0.0389 </w:t>
      </w:r>
      <w:r w:rsidR="00123E28" w:rsidRPr="0071016F">
        <w:rPr>
          <w:rFonts w:asciiTheme="minorHAnsi" w:hAnsiTheme="minorHAnsi" w:cstheme="minorHAnsi"/>
          <w:szCs w:val="20"/>
          <w:lang w:val="en-IE"/>
        </w:rPr>
        <w:t>ln CFU/g h</w:t>
      </w:r>
      <w:r w:rsidR="00123E28" w:rsidRPr="0071016F">
        <w:rPr>
          <w:rFonts w:asciiTheme="minorHAnsi" w:hAnsiTheme="minorHAnsi" w:cstheme="minorHAnsi"/>
          <w:szCs w:val="20"/>
          <w:vertAlign w:val="superscript"/>
          <w:lang w:val="en-IE"/>
        </w:rPr>
        <w:t>-1</w:t>
      </w:r>
      <w:r w:rsidR="00123E28">
        <w:rPr>
          <w:rFonts w:asciiTheme="minorHAnsi" w:hAnsiTheme="minorHAnsi" w:cstheme="minorHAnsi"/>
          <w:szCs w:val="20"/>
          <w:lang w:val="en-IE"/>
        </w:rPr>
        <w:t xml:space="preserve">). 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Likewise, </w:t>
      </w:r>
      <w:r w:rsidR="00C863AE">
        <w:rPr>
          <w:rFonts w:asciiTheme="minorHAnsi" w:hAnsiTheme="minorHAnsi" w:cstheme="minorHAnsi"/>
          <w:szCs w:val="20"/>
          <w:lang w:val="en-IE"/>
        </w:rPr>
        <w:t xml:space="preserve">the addition of selected LAB brought down </w:t>
      </w:r>
      <w:r w:rsidR="00D83B52">
        <w:rPr>
          <w:rFonts w:asciiTheme="minorHAnsi" w:hAnsiTheme="minorHAnsi" w:cstheme="minorHAnsi"/>
          <w:szCs w:val="20"/>
          <w:lang w:val="en-IE"/>
        </w:rPr>
        <w:t>the carrying capacity of</w:t>
      </w:r>
      <w:r w:rsidR="00D83B52" w:rsidRPr="00215F6E">
        <w:rPr>
          <w:rFonts w:asciiTheme="minorHAnsi" w:hAnsiTheme="minorHAnsi" w:cstheme="minorHAnsi"/>
          <w:i/>
          <w:szCs w:val="20"/>
          <w:lang w:val="en-IE"/>
        </w:rPr>
        <w:t xml:space="preserve"> L. monocytogenes 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in pasteurised </w:t>
      </w:r>
      <w:r w:rsidR="00C863AE">
        <w:rPr>
          <w:rFonts w:asciiTheme="minorHAnsi" w:hAnsiTheme="minorHAnsi" w:cstheme="minorHAnsi"/>
          <w:szCs w:val="20"/>
          <w:lang w:val="en-IE"/>
        </w:rPr>
        <w:t xml:space="preserve">and raw 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milk cheese </w:t>
      </w:r>
      <w:r w:rsidR="00C863AE">
        <w:rPr>
          <w:rFonts w:asciiTheme="minorHAnsi" w:hAnsiTheme="minorHAnsi" w:cstheme="minorHAnsi"/>
          <w:szCs w:val="20"/>
          <w:lang w:val="en-IE"/>
        </w:rPr>
        <w:t xml:space="preserve">(from 17.76 and 17.91 ln CFU/g, respectively, when no starters were used) to 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14.83 </w:t>
      </w:r>
      <w:r w:rsidR="00C863AE">
        <w:rPr>
          <w:rFonts w:asciiTheme="minorHAnsi" w:hAnsiTheme="minorHAnsi" w:cstheme="minorHAnsi"/>
          <w:szCs w:val="20"/>
          <w:lang w:val="en-IE"/>
        </w:rPr>
        <w:t xml:space="preserve">and </w:t>
      </w:r>
      <w:r w:rsidR="00D83B52">
        <w:rPr>
          <w:rFonts w:asciiTheme="minorHAnsi" w:hAnsiTheme="minorHAnsi" w:cstheme="minorHAnsi"/>
          <w:szCs w:val="20"/>
          <w:lang w:val="en-IE"/>
        </w:rPr>
        <w:t>14.12 ln CFU/g</w:t>
      </w:r>
      <w:r w:rsidR="00C863AE">
        <w:rPr>
          <w:rFonts w:asciiTheme="minorHAnsi" w:hAnsiTheme="minorHAnsi" w:cstheme="minorHAnsi"/>
          <w:szCs w:val="20"/>
          <w:lang w:val="en-IE"/>
        </w:rPr>
        <w:t>, respectively (</w:t>
      </w:r>
      <w:r w:rsidR="00D83B52">
        <w:rPr>
          <w:rFonts w:asciiTheme="minorHAnsi" w:hAnsiTheme="minorHAnsi" w:cstheme="minorHAnsi"/>
          <w:szCs w:val="20"/>
          <w:lang w:val="en-IE"/>
        </w:rPr>
        <w:t xml:space="preserve">Table 1). </w:t>
      </w:r>
      <w:r w:rsidR="00215F6E">
        <w:rPr>
          <w:rFonts w:asciiTheme="minorHAnsi" w:hAnsiTheme="minorHAnsi" w:cstheme="minorHAnsi"/>
          <w:szCs w:val="20"/>
          <w:lang w:val="en-IE"/>
        </w:rPr>
        <w:t xml:space="preserve">Furthermore, regardless of </w:t>
      </w:r>
      <w:r w:rsidR="00215F6E" w:rsidRPr="00C863AE">
        <w:rPr>
          <w:rFonts w:asciiTheme="minorHAnsi" w:hAnsiTheme="minorHAnsi" w:cstheme="minorHAnsi"/>
          <w:szCs w:val="20"/>
          <w:lang w:val="en-IE"/>
        </w:rPr>
        <w:t xml:space="preserve">the </w:t>
      </w:r>
      <w:r w:rsidR="00FB0CF0" w:rsidRPr="00C863AE">
        <w:rPr>
          <w:rFonts w:asciiTheme="minorHAnsi" w:hAnsiTheme="minorHAnsi" w:cstheme="minorHAnsi"/>
          <w:szCs w:val="20"/>
          <w:lang w:val="en-IE"/>
        </w:rPr>
        <w:t>addition</w:t>
      </w:r>
      <w:r w:rsidR="00215F6E" w:rsidRPr="00C863AE">
        <w:rPr>
          <w:rFonts w:asciiTheme="minorHAnsi" w:hAnsiTheme="minorHAnsi" w:cstheme="minorHAnsi"/>
          <w:szCs w:val="20"/>
          <w:lang w:val="en-IE"/>
        </w:rPr>
        <w:t xml:space="preserve"> or not of starter cultures, the growth of </w:t>
      </w:r>
      <w:r w:rsidR="00215F6E" w:rsidRPr="00C863AE">
        <w:rPr>
          <w:rFonts w:asciiTheme="minorHAnsi" w:hAnsiTheme="minorHAnsi" w:cstheme="minorHAnsi"/>
          <w:i/>
          <w:szCs w:val="20"/>
          <w:lang w:val="en-IE"/>
        </w:rPr>
        <w:t xml:space="preserve">L. monocytogenes </w:t>
      </w:r>
      <w:r w:rsidR="00215F6E" w:rsidRPr="00C863AE">
        <w:rPr>
          <w:rFonts w:asciiTheme="minorHAnsi" w:hAnsiTheme="minorHAnsi" w:cstheme="minorHAnsi"/>
          <w:szCs w:val="20"/>
          <w:lang w:val="en-IE"/>
        </w:rPr>
        <w:t xml:space="preserve">was </w:t>
      </w:r>
      <w:r w:rsidR="00C863AE" w:rsidRPr="00C863AE">
        <w:rPr>
          <w:rFonts w:asciiTheme="minorHAnsi" w:hAnsiTheme="minorHAnsi" w:cstheme="minorHAnsi"/>
          <w:szCs w:val="20"/>
          <w:lang w:val="en-IE"/>
        </w:rPr>
        <w:t xml:space="preserve">slightly </w:t>
      </w:r>
      <w:r w:rsidR="003F12B5" w:rsidRPr="00C863AE">
        <w:rPr>
          <w:rFonts w:asciiTheme="minorHAnsi" w:hAnsiTheme="minorHAnsi" w:cstheme="minorHAnsi"/>
          <w:szCs w:val="20"/>
          <w:lang w:val="en-IE"/>
        </w:rPr>
        <w:t xml:space="preserve">faster in cheeses elaborated with pasteurised </w:t>
      </w:r>
      <w:r w:rsidR="00215F6E" w:rsidRPr="00C863AE">
        <w:rPr>
          <w:rFonts w:asciiTheme="minorHAnsi" w:hAnsiTheme="minorHAnsi" w:cstheme="minorHAnsi"/>
          <w:szCs w:val="20"/>
          <w:lang w:val="en-IE"/>
        </w:rPr>
        <w:t xml:space="preserve">milk. </w:t>
      </w:r>
      <w:r w:rsidR="003F12B5" w:rsidRPr="00C863AE">
        <w:rPr>
          <w:rFonts w:asciiTheme="minorHAnsi" w:hAnsiTheme="minorHAnsi" w:cstheme="minorHAnsi"/>
          <w:szCs w:val="20"/>
          <w:lang w:val="en-IE"/>
        </w:rPr>
        <w:t>This was</w:t>
      </w:r>
      <w:r w:rsidR="003F12B5" w:rsidRPr="00C863AE">
        <w:rPr>
          <w:rFonts w:asciiTheme="minorHAnsi" w:hAnsiTheme="minorHAnsi" w:cstheme="minorHAnsi"/>
          <w:lang w:val="en-GB"/>
        </w:rPr>
        <w:t xml:space="preserve"> expected since pasteurisation eliminates a large part of background flora in milk, thereby </w:t>
      </w:r>
      <w:r w:rsidR="00970D0C">
        <w:rPr>
          <w:rFonts w:asciiTheme="minorHAnsi" w:hAnsiTheme="minorHAnsi" w:cstheme="minorHAnsi"/>
          <w:lang w:val="en-GB"/>
        </w:rPr>
        <w:t xml:space="preserve">weakening microbial competition and </w:t>
      </w:r>
      <w:r w:rsidR="003F12B5" w:rsidRPr="00C863AE">
        <w:rPr>
          <w:rFonts w:asciiTheme="minorHAnsi" w:hAnsiTheme="minorHAnsi" w:cstheme="minorHAnsi"/>
          <w:lang w:val="en-GB"/>
        </w:rPr>
        <w:t xml:space="preserve">enhancing pathogen growth. </w:t>
      </w:r>
      <w:r w:rsidR="00215F6E" w:rsidRPr="00C863AE">
        <w:rPr>
          <w:rFonts w:asciiTheme="minorHAnsi" w:hAnsiTheme="minorHAnsi" w:cstheme="minorHAnsi"/>
          <w:szCs w:val="20"/>
          <w:lang w:val="en-IE"/>
        </w:rPr>
        <w:t xml:space="preserve">Thus, </w:t>
      </w:r>
      <w:r w:rsidR="00285176" w:rsidRPr="00C863AE">
        <w:rPr>
          <w:rFonts w:asciiTheme="minorHAnsi" w:hAnsiTheme="minorHAnsi" w:cstheme="minorHAnsi"/>
          <w:szCs w:val="20"/>
          <w:lang w:val="en-IE"/>
        </w:rPr>
        <w:t>when cheese was made of pasteurised milk without select</w:t>
      </w:r>
      <w:r w:rsidR="006359FF">
        <w:rPr>
          <w:rFonts w:asciiTheme="minorHAnsi" w:hAnsiTheme="minorHAnsi" w:cstheme="minorHAnsi"/>
          <w:szCs w:val="20"/>
          <w:lang w:val="en-IE"/>
        </w:rPr>
        <w:t>ed</w:t>
      </w:r>
      <w:r w:rsidR="00285176" w:rsidRPr="00C863AE">
        <w:rPr>
          <w:rFonts w:asciiTheme="minorHAnsi" w:hAnsiTheme="minorHAnsi" w:cstheme="minorHAnsi"/>
          <w:szCs w:val="20"/>
          <w:lang w:val="en-IE"/>
        </w:rPr>
        <w:t xml:space="preserve"> LAB – hence relying</w:t>
      </w:r>
      <w:r w:rsidR="00285176">
        <w:rPr>
          <w:rFonts w:asciiTheme="minorHAnsi" w:hAnsiTheme="minorHAnsi" w:cstheme="minorHAnsi"/>
          <w:szCs w:val="20"/>
          <w:lang w:val="en-IE"/>
        </w:rPr>
        <w:t xml:space="preserve"> only on autochthonous LAB – the optimum growth rate of </w:t>
      </w:r>
      <w:r w:rsidR="00285176" w:rsidRPr="00410E9E">
        <w:rPr>
          <w:rFonts w:asciiTheme="minorHAnsi" w:hAnsiTheme="minorHAnsi" w:cstheme="minorHAnsi"/>
          <w:i/>
          <w:szCs w:val="20"/>
          <w:lang w:val="en-IE"/>
        </w:rPr>
        <w:t>L. monocytogenes</w:t>
      </w:r>
      <w:r w:rsidR="00285176">
        <w:rPr>
          <w:rFonts w:asciiTheme="minorHAnsi" w:hAnsiTheme="minorHAnsi" w:cstheme="minorHAnsi"/>
          <w:szCs w:val="20"/>
          <w:lang w:val="en-IE"/>
        </w:rPr>
        <w:t xml:space="preserve"> was the highest, which </w:t>
      </w:r>
      <w:r w:rsidR="002F01CF">
        <w:rPr>
          <w:rFonts w:asciiTheme="minorHAnsi" w:hAnsiTheme="minorHAnsi" w:cstheme="minorHAnsi"/>
          <w:szCs w:val="20"/>
          <w:lang w:val="en-IE"/>
        </w:rPr>
        <w:t>can be at least</w:t>
      </w:r>
      <w:r w:rsidR="00285176">
        <w:rPr>
          <w:rFonts w:asciiTheme="minorHAnsi" w:hAnsiTheme="minorHAnsi" w:cstheme="minorHAnsi"/>
          <w:szCs w:val="20"/>
          <w:lang w:val="en-IE"/>
        </w:rPr>
        <w:t xml:space="preserve"> </w:t>
      </w:r>
      <w:r w:rsidR="003F12B5">
        <w:rPr>
          <w:rFonts w:asciiTheme="minorHAnsi" w:hAnsiTheme="minorHAnsi" w:cstheme="minorHAnsi"/>
          <w:szCs w:val="20"/>
          <w:lang w:val="en-IE"/>
        </w:rPr>
        <w:t>partly</w:t>
      </w:r>
      <w:r w:rsidR="00285176">
        <w:rPr>
          <w:rFonts w:asciiTheme="minorHAnsi" w:hAnsiTheme="minorHAnsi" w:cstheme="minorHAnsi"/>
          <w:szCs w:val="20"/>
          <w:lang w:val="en-IE"/>
        </w:rPr>
        <w:t xml:space="preserve"> </w:t>
      </w:r>
      <w:r w:rsidR="002F01CF">
        <w:rPr>
          <w:rFonts w:asciiTheme="minorHAnsi" w:hAnsiTheme="minorHAnsi" w:cstheme="minorHAnsi"/>
          <w:szCs w:val="20"/>
          <w:lang w:val="en-IE"/>
        </w:rPr>
        <w:t>explained by</w:t>
      </w:r>
      <w:r w:rsidR="00285176">
        <w:rPr>
          <w:rFonts w:asciiTheme="minorHAnsi" w:hAnsiTheme="minorHAnsi" w:cstheme="minorHAnsi"/>
          <w:szCs w:val="20"/>
          <w:lang w:val="en-IE"/>
        </w:rPr>
        <w:t xml:space="preserve"> the poor acidification taking place in these cheeses (pH </w:t>
      </w:r>
      <w:r w:rsidR="00285176" w:rsidRPr="006F662C">
        <w:rPr>
          <w:rFonts w:asciiTheme="minorHAnsi" w:hAnsiTheme="minorHAnsi" w:cstheme="minorHAnsi"/>
          <w:szCs w:val="20"/>
          <w:lang w:val="en-IE"/>
        </w:rPr>
        <w:t>from 7.0 to 6.7; Fig. 1). On the other hand, the treatment producing the best acidification profile (i.e., raw milk with starter; pH from 6.7 to 4.8</w:t>
      </w:r>
      <w:r w:rsidR="006F662C" w:rsidRPr="006F662C">
        <w:rPr>
          <w:rFonts w:asciiTheme="minorHAnsi" w:hAnsiTheme="minorHAnsi" w:cstheme="minorHAnsi"/>
          <w:szCs w:val="20"/>
          <w:lang w:val="en-IE"/>
        </w:rPr>
        <w:t>; Fig. 1</w:t>
      </w:r>
      <w:r w:rsidR="00285176" w:rsidRPr="006F662C">
        <w:rPr>
          <w:rFonts w:asciiTheme="minorHAnsi" w:hAnsiTheme="minorHAnsi" w:cstheme="minorHAnsi"/>
          <w:szCs w:val="20"/>
          <w:lang w:val="en-IE"/>
        </w:rPr>
        <w:t xml:space="preserve">) </w:t>
      </w:r>
      <w:r w:rsidR="00FB0CF0" w:rsidRPr="006F662C">
        <w:rPr>
          <w:rFonts w:asciiTheme="minorHAnsi" w:hAnsiTheme="minorHAnsi" w:cstheme="minorHAnsi"/>
          <w:szCs w:val="20"/>
          <w:lang w:val="en-IE"/>
        </w:rPr>
        <w:t>supported</w:t>
      </w:r>
      <w:r w:rsidR="00215F6E" w:rsidRPr="006F662C">
        <w:rPr>
          <w:rFonts w:asciiTheme="minorHAnsi" w:hAnsiTheme="minorHAnsi" w:cstheme="minorHAnsi"/>
          <w:szCs w:val="20"/>
          <w:lang w:val="en-IE"/>
        </w:rPr>
        <w:t xml:space="preserve"> the </w:t>
      </w:r>
      <w:r w:rsidR="002F01CF">
        <w:rPr>
          <w:rFonts w:asciiTheme="minorHAnsi" w:hAnsiTheme="minorHAnsi" w:cstheme="minorHAnsi"/>
          <w:szCs w:val="20"/>
          <w:lang w:val="en-IE"/>
        </w:rPr>
        <w:t>slowest</w:t>
      </w:r>
      <w:r w:rsidR="00215F6E" w:rsidRPr="006F662C">
        <w:rPr>
          <w:rFonts w:asciiTheme="minorHAnsi" w:hAnsiTheme="minorHAnsi" w:cstheme="minorHAnsi"/>
          <w:szCs w:val="20"/>
          <w:lang w:val="en-IE"/>
        </w:rPr>
        <w:t xml:space="preserve"> development of </w:t>
      </w:r>
      <w:r w:rsidR="00215F6E" w:rsidRPr="006F662C">
        <w:rPr>
          <w:rFonts w:asciiTheme="minorHAnsi" w:hAnsiTheme="minorHAnsi" w:cstheme="minorHAnsi"/>
          <w:i/>
          <w:szCs w:val="20"/>
          <w:lang w:val="en-IE"/>
        </w:rPr>
        <w:t>L. monocytogenes</w:t>
      </w:r>
      <w:r w:rsidR="006F662C" w:rsidRPr="006F662C">
        <w:rPr>
          <w:rFonts w:asciiTheme="minorHAnsi" w:hAnsiTheme="minorHAnsi" w:cstheme="minorHAnsi"/>
          <w:szCs w:val="20"/>
          <w:lang w:val="en-IE"/>
        </w:rPr>
        <w:t xml:space="preserve"> (Table 1). </w:t>
      </w:r>
      <w:r w:rsidR="00887ACA">
        <w:rPr>
          <w:rFonts w:asciiTheme="minorHAnsi" w:hAnsiTheme="minorHAnsi" w:cstheme="minorHAnsi"/>
          <w:szCs w:val="20"/>
          <w:lang w:val="en-IE"/>
        </w:rPr>
        <w:t>Although the</w:t>
      </w:r>
      <w:r w:rsidR="006F662C" w:rsidRPr="006F662C">
        <w:rPr>
          <w:rFonts w:asciiTheme="minorHAnsi" w:hAnsiTheme="minorHAnsi" w:cstheme="minorHAnsi"/>
          <w:szCs w:val="20"/>
          <w:lang w:val="en-IE"/>
        </w:rPr>
        <w:t xml:space="preserve"> </w:t>
      </w:r>
      <w:r w:rsidR="00285176" w:rsidRPr="006F662C">
        <w:rPr>
          <w:rFonts w:asciiTheme="minorHAnsi" w:hAnsiTheme="minorHAnsi" w:cstheme="minorHAnsi"/>
          <w:lang w:val="en-GB"/>
        </w:rPr>
        <w:t xml:space="preserve">LAB strains tested </w:t>
      </w:r>
      <w:r w:rsidR="00887ACA">
        <w:rPr>
          <w:rFonts w:asciiTheme="minorHAnsi" w:hAnsiTheme="minorHAnsi" w:cstheme="minorHAnsi"/>
          <w:lang w:val="en-GB"/>
        </w:rPr>
        <w:t xml:space="preserve">did not cause an inactivation of </w:t>
      </w:r>
      <w:r w:rsidR="00970D0C" w:rsidRPr="00970D0C">
        <w:rPr>
          <w:rFonts w:asciiTheme="minorHAnsi" w:hAnsiTheme="minorHAnsi" w:cstheme="minorHAnsi"/>
          <w:i/>
          <w:lang w:val="en-GB"/>
        </w:rPr>
        <w:t>L. monocytogenes</w:t>
      </w:r>
      <w:r w:rsidR="00887ACA">
        <w:rPr>
          <w:rFonts w:asciiTheme="minorHAnsi" w:hAnsiTheme="minorHAnsi" w:cstheme="minorHAnsi"/>
          <w:lang w:val="en-GB"/>
        </w:rPr>
        <w:t>, they did exert a</w:t>
      </w:r>
      <w:r w:rsidR="00285176" w:rsidRPr="006F662C">
        <w:rPr>
          <w:rFonts w:asciiTheme="minorHAnsi" w:hAnsiTheme="minorHAnsi" w:cstheme="minorHAnsi"/>
          <w:lang w:val="en-GB"/>
        </w:rPr>
        <w:t xml:space="preserve"> </w:t>
      </w:r>
      <w:r w:rsidR="00C863AE">
        <w:rPr>
          <w:rFonts w:asciiTheme="minorHAnsi" w:hAnsiTheme="minorHAnsi" w:cstheme="minorHAnsi"/>
          <w:lang w:val="en-GB"/>
        </w:rPr>
        <w:t xml:space="preserve">strong </w:t>
      </w:r>
      <w:r w:rsidR="00285176" w:rsidRPr="006F662C">
        <w:rPr>
          <w:rFonts w:asciiTheme="minorHAnsi" w:hAnsiTheme="minorHAnsi" w:cstheme="minorHAnsi"/>
          <w:lang w:val="en-GB"/>
        </w:rPr>
        <w:t>bacteriostatic effect</w:t>
      </w:r>
      <w:r w:rsidR="00887ACA">
        <w:rPr>
          <w:rFonts w:asciiTheme="minorHAnsi" w:hAnsiTheme="minorHAnsi" w:cstheme="minorHAnsi"/>
          <w:lang w:val="en-GB"/>
        </w:rPr>
        <w:t xml:space="preserve">, as inferred from the </w:t>
      </w:r>
      <w:r w:rsidR="00C863AE">
        <w:rPr>
          <w:rFonts w:asciiTheme="minorHAnsi" w:hAnsiTheme="minorHAnsi" w:cstheme="minorHAnsi"/>
          <w:lang w:val="en-GB"/>
        </w:rPr>
        <w:t xml:space="preserve">only </w:t>
      </w:r>
      <w:r w:rsidR="00887ACA">
        <w:rPr>
          <w:rFonts w:asciiTheme="minorHAnsi" w:hAnsiTheme="minorHAnsi" w:cstheme="minorHAnsi"/>
          <w:lang w:val="en-GB"/>
        </w:rPr>
        <w:t>one-ln CFU/g growth that took place in 15 days of cold storage</w:t>
      </w:r>
      <w:r w:rsidR="00924802">
        <w:rPr>
          <w:rFonts w:asciiTheme="minorHAnsi" w:hAnsiTheme="minorHAnsi" w:cstheme="minorHAnsi"/>
          <w:lang w:val="en-GB"/>
        </w:rPr>
        <w:t xml:space="preserve"> (from Y</w:t>
      </w:r>
      <w:r w:rsidR="00924802" w:rsidRPr="00887ACA">
        <w:rPr>
          <w:rFonts w:asciiTheme="minorHAnsi" w:hAnsiTheme="minorHAnsi" w:cstheme="minorHAnsi"/>
          <w:vertAlign w:val="subscript"/>
          <w:lang w:val="en-GB"/>
        </w:rPr>
        <w:t>0</w:t>
      </w:r>
      <w:r w:rsidR="00924802">
        <w:rPr>
          <w:rFonts w:asciiTheme="minorHAnsi" w:hAnsiTheme="minorHAnsi" w:cstheme="minorHAnsi"/>
          <w:lang w:val="en-GB"/>
        </w:rPr>
        <w:t xml:space="preserve">=13.11 to </w:t>
      </w:r>
      <w:proofErr w:type="spellStart"/>
      <w:r w:rsidR="00924802">
        <w:rPr>
          <w:rFonts w:asciiTheme="minorHAnsi" w:hAnsiTheme="minorHAnsi" w:cstheme="minorHAnsi"/>
          <w:lang w:val="en-GB"/>
        </w:rPr>
        <w:t>Y</w:t>
      </w:r>
      <w:r w:rsidR="00924802" w:rsidRPr="00887ACA">
        <w:rPr>
          <w:rFonts w:asciiTheme="minorHAnsi" w:hAnsiTheme="minorHAnsi" w:cstheme="minorHAnsi"/>
          <w:vertAlign w:val="subscript"/>
          <w:lang w:val="en-GB"/>
        </w:rPr>
        <w:t>max</w:t>
      </w:r>
      <w:proofErr w:type="spellEnd"/>
      <w:r w:rsidR="00924802">
        <w:rPr>
          <w:rFonts w:asciiTheme="minorHAnsi" w:hAnsiTheme="minorHAnsi" w:cstheme="minorHAnsi"/>
          <w:lang w:val="en-GB"/>
        </w:rPr>
        <w:t xml:space="preserve"> 14.12 ln CFU/g; Table 1)</w:t>
      </w:r>
      <w:r w:rsidR="00887ACA">
        <w:rPr>
          <w:rFonts w:asciiTheme="minorHAnsi" w:hAnsiTheme="minorHAnsi" w:cstheme="minorHAnsi"/>
          <w:lang w:val="en-GB"/>
        </w:rPr>
        <w:t>.</w:t>
      </w:r>
    </w:p>
    <w:p w:rsidR="005960A5" w:rsidRDefault="005960A5" w:rsidP="0071016F">
      <w:pPr>
        <w:spacing w:before="0" w:after="0"/>
        <w:jc w:val="center"/>
        <w:rPr>
          <w:rFonts w:asciiTheme="minorHAnsi" w:hAnsiTheme="minorHAnsi" w:cstheme="minorHAnsi"/>
          <w:szCs w:val="20"/>
          <w:lang w:val="en-IE"/>
        </w:rPr>
      </w:pPr>
      <w:proofErr w:type="gramStart"/>
      <w:r w:rsidRPr="0071016F">
        <w:rPr>
          <w:rFonts w:asciiTheme="minorHAnsi" w:hAnsiTheme="minorHAnsi" w:cstheme="minorHAnsi"/>
          <w:szCs w:val="20"/>
          <w:lang w:val="en-IE"/>
        </w:rPr>
        <w:t>Table 1.</w:t>
      </w:r>
      <w:proofErr w:type="gramEnd"/>
      <w:r w:rsidRPr="0071016F">
        <w:rPr>
          <w:rFonts w:asciiTheme="minorHAnsi" w:hAnsiTheme="minorHAnsi" w:cstheme="minorHAnsi"/>
          <w:szCs w:val="20"/>
          <w:lang w:val="en-IE"/>
        </w:rPr>
        <w:t xml:space="preserve"> Kinetic parameters (initial and maximum microbial concentration Y</w:t>
      </w:r>
      <w:r w:rsidRPr="0071016F">
        <w:rPr>
          <w:rFonts w:asciiTheme="minorHAnsi" w:hAnsiTheme="minorHAnsi" w:cstheme="minorHAnsi"/>
          <w:szCs w:val="20"/>
          <w:vertAlign w:val="subscript"/>
          <w:lang w:val="en-IE"/>
        </w:rPr>
        <w:t>0</w:t>
      </w:r>
      <w:r w:rsidRPr="0071016F">
        <w:rPr>
          <w:rFonts w:asciiTheme="minorHAnsi" w:hAnsiTheme="minorHAnsi" w:cstheme="minorHAnsi"/>
          <w:szCs w:val="20"/>
          <w:lang w:val="en-IE"/>
        </w:rPr>
        <w:t xml:space="preserve">, </w:t>
      </w:r>
      <w:proofErr w:type="spellStart"/>
      <w:r w:rsidRPr="0071016F">
        <w:rPr>
          <w:rFonts w:asciiTheme="minorHAnsi" w:hAnsiTheme="minorHAnsi" w:cstheme="minorHAnsi"/>
          <w:szCs w:val="20"/>
          <w:lang w:val="en-IE"/>
        </w:rPr>
        <w:t>Y</w:t>
      </w:r>
      <w:r w:rsidRPr="0071016F">
        <w:rPr>
          <w:rFonts w:asciiTheme="minorHAnsi" w:hAnsiTheme="minorHAnsi" w:cstheme="minorHAnsi"/>
          <w:szCs w:val="20"/>
          <w:vertAlign w:val="subscript"/>
          <w:lang w:val="en-IE"/>
        </w:rPr>
        <w:t>max</w:t>
      </w:r>
      <w:proofErr w:type="spellEnd"/>
      <w:r w:rsidRPr="0071016F">
        <w:rPr>
          <w:rFonts w:asciiTheme="minorHAnsi" w:hAnsiTheme="minorHAnsi" w:cstheme="minorHAnsi"/>
          <w:szCs w:val="20"/>
          <w:lang w:val="en-IE"/>
        </w:rPr>
        <w:t xml:space="preserve"> in ln CFU/g and optimum growth rate </w:t>
      </w:r>
      <w:proofErr w:type="spellStart"/>
      <w:r w:rsidRPr="0071016F">
        <w:rPr>
          <w:rFonts w:asciiTheme="minorHAnsi" w:hAnsiTheme="minorHAnsi" w:cstheme="minorHAnsi"/>
          <w:szCs w:val="20"/>
          <w:lang w:val="en-IE"/>
        </w:rPr>
        <w:t>μ</w:t>
      </w:r>
      <w:r w:rsidRPr="0071016F">
        <w:rPr>
          <w:rFonts w:asciiTheme="minorHAnsi" w:hAnsiTheme="minorHAnsi" w:cstheme="minorHAnsi"/>
          <w:szCs w:val="20"/>
          <w:vertAlign w:val="subscript"/>
          <w:lang w:val="en-IE"/>
        </w:rPr>
        <w:t>opt</w:t>
      </w:r>
      <w:proofErr w:type="spellEnd"/>
      <w:r w:rsidRPr="0071016F">
        <w:rPr>
          <w:rFonts w:asciiTheme="minorHAnsi" w:hAnsiTheme="minorHAnsi" w:cstheme="minorHAnsi"/>
          <w:szCs w:val="20"/>
          <w:lang w:val="en-IE"/>
        </w:rPr>
        <w:t xml:space="preserve"> in ln CFU/g h</w:t>
      </w:r>
      <w:r w:rsidRPr="0071016F">
        <w:rPr>
          <w:rFonts w:asciiTheme="minorHAnsi" w:hAnsiTheme="minorHAnsi" w:cstheme="minorHAnsi"/>
          <w:szCs w:val="20"/>
          <w:vertAlign w:val="superscript"/>
          <w:lang w:val="en-IE"/>
        </w:rPr>
        <w:t>-1</w:t>
      </w:r>
      <w:r w:rsidRPr="0071016F">
        <w:rPr>
          <w:rFonts w:asciiTheme="minorHAnsi" w:hAnsiTheme="minorHAnsi" w:cstheme="minorHAnsi"/>
          <w:szCs w:val="20"/>
          <w:lang w:val="en-IE"/>
        </w:rPr>
        <w:t xml:space="preserve">) of </w:t>
      </w:r>
      <w:r w:rsidRPr="0071016F">
        <w:rPr>
          <w:rFonts w:asciiTheme="minorHAnsi" w:hAnsiTheme="minorHAnsi" w:cstheme="minorHAnsi"/>
          <w:i/>
          <w:szCs w:val="20"/>
          <w:lang w:val="en-IE"/>
        </w:rPr>
        <w:t>L. monocytogenes</w:t>
      </w:r>
      <w:r w:rsidRPr="0071016F">
        <w:rPr>
          <w:rFonts w:asciiTheme="minorHAnsi" w:hAnsiTheme="minorHAnsi" w:cstheme="minorHAnsi"/>
          <w:szCs w:val="20"/>
          <w:lang w:val="en-IE"/>
        </w:rPr>
        <w:t xml:space="preserve"> in Minas soft cheese elaborated with raw or pasteurised milk and with addition or not of </w:t>
      </w:r>
      <w:r w:rsidR="00AC3AA5" w:rsidRPr="0071016F">
        <w:rPr>
          <w:rFonts w:asciiTheme="minorHAnsi" w:hAnsiTheme="minorHAnsi" w:cstheme="minorHAnsi"/>
          <w:szCs w:val="20"/>
          <w:lang w:val="en-IE"/>
        </w:rPr>
        <w:t>starter culture (selected LAB)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4"/>
        <w:gridCol w:w="1296"/>
        <w:gridCol w:w="1701"/>
        <w:gridCol w:w="1359"/>
        <w:gridCol w:w="1662"/>
        <w:gridCol w:w="1338"/>
      </w:tblGrid>
      <w:tr w:rsidR="005960A5" w:rsidRPr="0071016F" w:rsidTr="0071016F">
        <w:trPr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5960A5" w:rsidRPr="005B641F" w:rsidRDefault="005960A5" w:rsidP="0071016F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5B641F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Milk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Without starter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With starter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5960A5" w:rsidRPr="005B641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Mean (SE)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Pr</w:t>
            </w:r>
            <w:proofErr w:type="spellEnd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&gt; |t|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Mean (SE)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Pr</w:t>
            </w:r>
            <w:proofErr w:type="spellEnd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&gt; |t|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5960A5" w:rsidRPr="005B641F" w:rsidRDefault="005960A5" w:rsidP="005960A5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5B641F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Pasteurised</w:t>
            </w:r>
          </w:p>
          <w:p w:rsidR="005960A5" w:rsidRPr="005B641F" w:rsidRDefault="005960A5" w:rsidP="005960A5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Y</w:t>
            </w:r>
            <w:r w:rsidRPr="0071016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I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14.71 (0.385)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13.15 (0.142)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  <w:vMerge/>
          </w:tcPr>
          <w:p w:rsidR="005960A5" w:rsidRPr="005B641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μ</w:t>
            </w:r>
            <w:r w:rsidRPr="0071016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IE"/>
              </w:rPr>
              <w:t>opt</w:t>
            </w:r>
            <w:proofErr w:type="spellEnd"/>
          </w:p>
        </w:tc>
        <w:tc>
          <w:tcPr>
            <w:tcW w:w="1701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0.0405 (0.0135)</w:t>
            </w:r>
          </w:p>
        </w:tc>
        <w:tc>
          <w:tcPr>
            <w:tcW w:w="1359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0.0122</w:t>
            </w:r>
          </w:p>
        </w:tc>
        <w:tc>
          <w:tcPr>
            <w:tcW w:w="1662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0.0336 (0.0070)</w:t>
            </w:r>
          </w:p>
        </w:tc>
        <w:tc>
          <w:tcPr>
            <w:tcW w:w="1338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0.0006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</w:tcPr>
          <w:p w:rsidR="005960A5" w:rsidRPr="005B641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Y</w:t>
            </w:r>
            <w:r w:rsidRPr="0071016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IE"/>
              </w:rPr>
              <w:t>max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17.76 (0.272)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14.83 (0.143)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5960A5" w:rsidRPr="005B641F" w:rsidRDefault="005960A5" w:rsidP="005960A5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5B641F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 xml:space="preserve">Raw </w:t>
            </w:r>
          </w:p>
          <w:p w:rsidR="005960A5" w:rsidRPr="005B641F" w:rsidRDefault="005960A5" w:rsidP="005960A5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Y</w:t>
            </w:r>
            <w:r w:rsidRPr="0071016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I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14.58 (0.241)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13.11 (0.115)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  <w:vMerge/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μ</w:t>
            </w:r>
            <w:r w:rsidRPr="0071016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IE"/>
              </w:rPr>
              <w:t>opt</w:t>
            </w:r>
            <w:proofErr w:type="spellEnd"/>
          </w:p>
        </w:tc>
        <w:tc>
          <w:tcPr>
            <w:tcW w:w="1701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0.0389 (0.0068)</w:t>
            </w:r>
          </w:p>
        </w:tc>
        <w:tc>
          <w:tcPr>
            <w:tcW w:w="1359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0.0010</w:t>
            </w:r>
          </w:p>
        </w:tc>
        <w:tc>
          <w:tcPr>
            <w:tcW w:w="1662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0.0281 (0.0067)</w:t>
            </w:r>
          </w:p>
        </w:tc>
        <w:tc>
          <w:tcPr>
            <w:tcW w:w="1338" w:type="dxa"/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0.0029</w:t>
            </w:r>
          </w:p>
        </w:tc>
      </w:tr>
      <w:tr w:rsidR="005960A5" w:rsidRPr="0071016F" w:rsidTr="0071016F">
        <w:trPr>
          <w:jc w:val="center"/>
        </w:trPr>
        <w:tc>
          <w:tcPr>
            <w:tcW w:w="1364" w:type="dxa"/>
            <w:tcBorders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960A5" w:rsidRPr="0071016F" w:rsidRDefault="005960A5" w:rsidP="005960A5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Y</w:t>
            </w:r>
            <w:r w:rsidRPr="0071016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IE"/>
              </w:rPr>
              <w:t>max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17.91 (0.193)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14.12 (0.072)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960A5" w:rsidRPr="0071016F" w:rsidRDefault="005960A5" w:rsidP="001235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71016F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&lt;.0001</w:t>
            </w:r>
          </w:p>
        </w:tc>
      </w:tr>
    </w:tbl>
    <w:p w:rsidR="00950CEF" w:rsidRDefault="00B13E86" w:rsidP="00950CEF">
      <w:pPr>
        <w:autoSpaceDE w:val="0"/>
        <w:autoSpaceDN w:val="0"/>
        <w:adjustRightInd w:val="0"/>
        <w:spacing w:before="0" w:after="0"/>
        <w:jc w:val="center"/>
        <w:rPr>
          <w:rFonts w:asciiTheme="minorHAnsi" w:eastAsiaTheme="minorHAnsi" w:hAnsiTheme="minorHAnsi" w:cstheme="minorHAnsi"/>
          <w:color w:val="231F20"/>
          <w:lang w:val="en-GB"/>
        </w:rPr>
      </w:pPr>
      <w:r>
        <w:rPr>
          <w:rFonts w:ascii="Times New Roman" w:hAnsi="Times New Roman"/>
          <w:noProof/>
          <w:sz w:val="22"/>
          <w:szCs w:val="22"/>
          <w:lang w:val="en-GB" w:eastAsia="en-GB"/>
        </w:rPr>
        <w:drawing>
          <wp:inline distT="0" distB="0" distL="0" distR="0" wp14:anchorId="4F52D1BC" wp14:editId="374501D3">
            <wp:extent cx="3057029" cy="2160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29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370" w:rsidRPr="00DA0E06" w:rsidRDefault="00B13E86" w:rsidP="00887ACA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lang w:val="en-US"/>
        </w:rPr>
      </w:pPr>
      <w:proofErr w:type="gramStart"/>
      <w:r w:rsidRPr="00B13E86">
        <w:rPr>
          <w:rFonts w:asciiTheme="minorHAnsi" w:eastAsiaTheme="minorHAnsi" w:hAnsiTheme="minorHAnsi" w:cstheme="minorHAnsi"/>
          <w:color w:val="231F20"/>
          <w:lang w:val="en-GB"/>
        </w:rPr>
        <w:t>Figure 1.</w:t>
      </w:r>
      <w:proofErr w:type="gramEnd"/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Effect of pH on the growth rate of </w:t>
      </w:r>
      <w:r w:rsidRPr="001235DB">
        <w:rPr>
          <w:rFonts w:asciiTheme="minorHAnsi" w:eastAsiaTheme="minorHAnsi" w:hAnsiTheme="minorHAnsi" w:cstheme="minorHAnsi"/>
          <w:i/>
          <w:color w:val="231F20"/>
          <w:lang w:val="en-GB"/>
        </w:rPr>
        <w:t>L. monocytogenes</w:t>
      </w:r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in </w:t>
      </w:r>
      <w:proofErr w:type="gramStart"/>
      <w:r w:rsidRPr="00B13E86">
        <w:rPr>
          <w:rFonts w:asciiTheme="minorHAnsi" w:eastAsiaTheme="minorHAnsi" w:hAnsiTheme="minorHAnsi" w:cstheme="minorHAnsi"/>
          <w:color w:val="231F20"/>
          <w:lang w:val="en-GB"/>
        </w:rPr>
        <w:t>Minas</w:t>
      </w:r>
      <w:proofErr w:type="gramEnd"/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soft cheese </w:t>
      </w:r>
      <w:r w:rsidR="00950CEF">
        <w:rPr>
          <w:rFonts w:asciiTheme="minorHAnsi" w:eastAsiaTheme="minorHAnsi" w:hAnsiTheme="minorHAnsi" w:cstheme="minorHAnsi"/>
          <w:color w:val="231F20"/>
          <w:lang w:val="en-GB"/>
        </w:rPr>
        <w:t>by treatment.</w:t>
      </w:r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Markers </w:t>
      </w:r>
      <w:r w:rsidR="00950CEF">
        <w:rPr>
          <w:rFonts w:asciiTheme="minorHAnsi" w:eastAsiaTheme="minorHAnsi" w:hAnsiTheme="minorHAnsi" w:cstheme="minorHAnsi"/>
          <w:color w:val="231F20"/>
          <w:lang w:val="en-GB"/>
        </w:rPr>
        <w:t>indicate</w:t>
      </w:r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</w:t>
      </w:r>
      <w:r w:rsidR="002F01CF">
        <w:rPr>
          <w:rFonts w:asciiTheme="minorHAnsi" w:eastAsiaTheme="minorHAnsi" w:hAnsiTheme="minorHAnsi" w:cstheme="minorHAnsi"/>
          <w:color w:val="231F20"/>
          <w:lang w:val="en-GB"/>
        </w:rPr>
        <w:t xml:space="preserve">sampling </w:t>
      </w:r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points from time 0 (rightmost) </w:t>
      </w:r>
      <w:r w:rsidR="001235DB">
        <w:rPr>
          <w:rFonts w:asciiTheme="minorHAnsi" w:eastAsiaTheme="minorHAnsi" w:hAnsiTheme="minorHAnsi" w:cstheme="minorHAnsi"/>
          <w:color w:val="231F20"/>
          <w:lang w:val="en-GB"/>
        </w:rPr>
        <w:t>to</w:t>
      </w:r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360 </w:t>
      </w:r>
      <w:r w:rsidR="001235DB">
        <w:rPr>
          <w:rFonts w:asciiTheme="minorHAnsi" w:eastAsiaTheme="minorHAnsi" w:hAnsiTheme="minorHAnsi" w:cstheme="minorHAnsi"/>
          <w:color w:val="231F20"/>
          <w:lang w:val="en-GB"/>
        </w:rPr>
        <w:t>h</w:t>
      </w:r>
      <w:r w:rsidRPr="00B13E86">
        <w:rPr>
          <w:rFonts w:asciiTheme="minorHAnsi" w:eastAsiaTheme="minorHAnsi" w:hAnsiTheme="minorHAnsi" w:cstheme="minorHAnsi"/>
          <w:color w:val="231F20"/>
          <w:lang w:val="en-GB"/>
        </w:rPr>
        <w:t xml:space="preserve"> (leftmost)</w:t>
      </w:r>
    </w:p>
    <w:sectPr w:rsidR="005E1370" w:rsidRPr="00DA0E06"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1F" w:rsidRDefault="00C5701F" w:rsidP="00411551">
      <w:pPr>
        <w:spacing w:before="0" w:after="0"/>
      </w:pPr>
      <w:r>
        <w:separator/>
      </w:r>
    </w:p>
  </w:endnote>
  <w:endnote w:type="continuationSeparator" w:id="0">
    <w:p w:rsidR="00C5701F" w:rsidRDefault="00C5701F" w:rsidP="00411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DB" w:rsidRPr="00962325" w:rsidRDefault="001235DB" w:rsidP="00411551">
    <w:pPr>
      <w:pStyle w:val="Rodap"/>
      <w:jc w:val="center"/>
      <w:rPr>
        <w:color w:val="5F497A" w:themeColor="accent4" w:themeShade="BF"/>
        <w:sz w:val="16"/>
        <w:szCs w:val="16"/>
      </w:rPr>
    </w:pPr>
    <w:r w:rsidRPr="00962325">
      <w:rPr>
        <w:noProof/>
        <w:color w:val="5F497A" w:themeColor="accent4" w:themeShade="B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49133A" wp14:editId="347373EF">
              <wp:simplePos x="0" y="0"/>
              <wp:positionH relativeFrom="column">
                <wp:posOffset>-157480</wp:posOffset>
              </wp:positionH>
              <wp:positionV relativeFrom="paragraph">
                <wp:posOffset>-66040</wp:posOffset>
              </wp:positionV>
              <wp:extent cx="5835650" cy="36195"/>
              <wp:effectExtent l="0" t="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650" cy="3619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4pt;margin-top:-5.2pt;width:459.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" fillcolor="#5f497a [2407]" stroked="f"/>
          </w:pict>
        </mc:Fallback>
      </mc:AlternateContent>
    </w:r>
    <w:r w:rsidRPr="00962325">
      <w:rPr>
        <w:noProof/>
        <w:color w:val="5F497A" w:themeColor="accent4" w:themeShade="BF"/>
        <w:sz w:val="16"/>
        <w:szCs w:val="16"/>
        <w:lang w:val="fr-FR" w:eastAsia="fr-FR"/>
      </w:rPr>
      <w:t>Agro</w:t>
    </w:r>
    <w:r w:rsidR="00962325" w:rsidRPr="00962325">
      <w:rPr>
        <w:noProof/>
        <w:color w:val="5F497A" w:themeColor="accent4" w:themeShade="BF"/>
        <w:sz w:val="16"/>
        <w:szCs w:val="16"/>
        <w:lang w:val="fr-FR" w:eastAsia="fr-FR"/>
      </w:rPr>
      <w:t>S</w:t>
    </w:r>
    <w:r w:rsidRPr="00962325">
      <w:rPr>
        <w:noProof/>
        <w:color w:val="5F497A" w:themeColor="accent4" w:themeShade="BF"/>
        <w:sz w:val="16"/>
        <w:szCs w:val="16"/>
        <w:lang w:val="fr-FR" w:eastAsia="fr-FR"/>
      </w:rPr>
      <w:t xml:space="preserve">tat </w:t>
    </w:r>
    <w:r w:rsidRPr="00962325">
      <w:rPr>
        <w:color w:val="5F497A" w:themeColor="accent4" w:themeShade="BF"/>
        <w:sz w:val="16"/>
        <w:szCs w:val="16"/>
      </w:rPr>
      <w:t xml:space="preserve">– </w:t>
    </w:r>
    <w:r w:rsidR="00962325" w:rsidRPr="00962325">
      <w:rPr>
        <w:color w:val="5F497A" w:themeColor="accent4" w:themeShade="BF"/>
        <w:sz w:val="16"/>
        <w:szCs w:val="16"/>
      </w:rPr>
      <w:t>Bragança</w:t>
    </w:r>
    <w:r w:rsidRPr="00962325">
      <w:rPr>
        <w:color w:val="5F497A" w:themeColor="accent4" w:themeShade="BF"/>
        <w:sz w:val="16"/>
        <w:szCs w:val="16"/>
      </w:rPr>
      <w:t xml:space="preserve">, </w:t>
    </w:r>
    <w:r w:rsidR="00DE1C90">
      <w:rPr>
        <w:color w:val="5F497A" w:themeColor="accent4" w:themeShade="BF"/>
        <w:sz w:val="16"/>
        <w:szCs w:val="16"/>
      </w:rPr>
      <w:t>14-17</w:t>
    </w:r>
    <w:r w:rsidRPr="00962325">
      <w:rPr>
        <w:color w:val="5F497A" w:themeColor="accent4" w:themeShade="BF"/>
        <w:sz w:val="16"/>
        <w:szCs w:val="16"/>
      </w:rPr>
      <w:t xml:space="preserve"> </w:t>
    </w:r>
    <w:proofErr w:type="spellStart"/>
    <w:r w:rsidR="00DE1C90">
      <w:rPr>
        <w:color w:val="5F497A" w:themeColor="accent4" w:themeShade="BF"/>
        <w:sz w:val="16"/>
        <w:szCs w:val="16"/>
      </w:rPr>
      <w:t>September</w:t>
    </w:r>
    <w:proofErr w:type="spellEnd"/>
    <w:r w:rsidR="00962325" w:rsidRPr="00962325">
      <w:rPr>
        <w:color w:val="5F497A" w:themeColor="accent4" w:themeShade="BF"/>
        <w:sz w:val="16"/>
        <w:szCs w:val="16"/>
      </w:rPr>
      <w:t xml:space="preserve"> 2021</w:t>
    </w:r>
  </w:p>
  <w:p w:rsidR="001235DB" w:rsidRDefault="001235DB" w:rsidP="00411551">
    <w:pPr>
      <w:pStyle w:val="Rodap"/>
      <w:jc w:val="center"/>
    </w:pPr>
  </w:p>
  <w:p w:rsidR="001235DB" w:rsidRDefault="001235DB" w:rsidP="0041155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1F" w:rsidRDefault="00C5701F" w:rsidP="00411551">
      <w:pPr>
        <w:spacing w:before="0" w:after="0"/>
      </w:pPr>
      <w:r>
        <w:separator/>
      </w:r>
    </w:p>
  </w:footnote>
  <w:footnote w:type="continuationSeparator" w:id="0">
    <w:p w:rsidR="00C5701F" w:rsidRDefault="00C5701F" w:rsidP="004115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4"/>
    <w:multiLevelType w:val="multilevel"/>
    <w:tmpl w:val="669AA90C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Cabealh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DB4"/>
    <w:multiLevelType w:val="multilevel"/>
    <w:tmpl w:val="8F0C6686"/>
    <w:lvl w:ilvl="0">
      <w:start w:val="1"/>
      <w:numFmt w:val="none"/>
      <w:pStyle w:val="IATED-Keywords"/>
      <w:suff w:val="space"/>
      <w:lvlText w:val="Keywords - "/>
      <w:lvlJc w:val="left"/>
      <w:pPr>
        <w:ind w:left="0" w:firstLine="340"/>
      </w:pPr>
      <w:rPr>
        <w:rFonts w:ascii="Calibri" w:hAnsi="Calibri" w:cs="Calibri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03CB8"/>
    <w:rsid w:val="000179BB"/>
    <w:rsid w:val="00021617"/>
    <w:rsid w:val="00027C3A"/>
    <w:rsid w:val="000453D2"/>
    <w:rsid w:val="000651D7"/>
    <w:rsid w:val="00082189"/>
    <w:rsid w:val="0008263D"/>
    <w:rsid w:val="00083569"/>
    <w:rsid w:val="00086611"/>
    <w:rsid w:val="000922FC"/>
    <w:rsid w:val="000A7AC4"/>
    <w:rsid w:val="000B7383"/>
    <w:rsid w:val="000E776E"/>
    <w:rsid w:val="000F410A"/>
    <w:rsid w:val="001235DB"/>
    <w:rsid w:val="00123E28"/>
    <w:rsid w:val="00134ECD"/>
    <w:rsid w:val="00152586"/>
    <w:rsid w:val="00156601"/>
    <w:rsid w:val="001709B6"/>
    <w:rsid w:val="00191C90"/>
    <w:rsid w:val="001A331B"/>
    <w:rsid w:val="001B1CCA"/>
    <w:rsid w:val="001B1EC0"/>
    <w:rsid w:val="001E07CE"/>
    <w:rsid w:val="001F47F2"/>
    <w:rsid w:val="00215F6E"/>
    <w:rsid w:val="002164A1"/>
    <w:rsid w:val="0022422F"/>
    <w:rsid w:val="00240B4E"/>
    <w:rsid w:val="002557ED"/>
    <w:rsid w:val="00282C49"/>
    <w:rsid w:val="00285176"/>
    <w:rsid w:val="002871FC"/>
    <w:rsid w:val="002948BE"/>
    <w:rsid w:val="002C0BC8"/>
    <w:rsid w:val="002E5B59"/>
    <w:rsid w:val="002F01CF"/>
    <w:rsid w:val="0030784D"/>
    <w:rsid w:val="00310208"/>
    <w:rsid w:val="00382523"/>
    <w:rsid w:val="00391F9F"/>
    <w:rsid w:val="00397EC8"/>
    <w:rsid w:val="003B33B6"/>
    <w:rsid w:val="003C3C81"/>
    <w:rsid w:val="003C4092"/>
    <w:rsid w:val="003F12B5"/>
    <w:rsid w:val="0040551F"/>
    <w:rsid w:val="00410E9E"/>
    <w:rsid w:val="00411551"/>
    <w:rsid w:val="00426ECA"/>
    <w:rsid w:val="00444C6A"/>
    <w:rsid w:val="004C2341"/>
    <w:rsid w:val="004C6832"/>
    <w:rsid w:val="004C7E8B"/>
    <w:rsid w:val="004D26E5"/>
    <w:rsid w:val="004E23AD"/>
    <w:rsid w:val="00500ECC"/>
    <w:rsid w:val="005123C8"/>
    <w:rsid w:val="0052318D"/>
    <w:rsid w:val="0054055B"/>
    <w:rsid w:val="00544895"/>
    <w:rsid w:val="00563374"/>
    <w:rsid w:val="005960A5"/>
    <w:rsid w:val="005B641F"/>
    <w:rsid w:val="005E1370"/>
    <w:rsid w:val="006243BB"/>
    <w:rsid w:val="006264DE"/>
    <w:rsid w:val="00634E6E"/>
    <w:rsid w:val="006359FF"/>
    <w:rsid w:val="00641AF8"/>
    <w:rsid w:val="006571F2"/>
    <w:rsid w:val="00672506"/>
    <w:rsid w:val="006D13E3"/>
    <w:rsid w:val="006D16BB"/>
    <w:rsid w:val="006F662C"/>
    <w:rsid w:val="006F77E4"/>
    <w:rsid w:val="0071016F"/>
    <w:rsid w:val="00722785"/>
    <w:rsid w:val="00782D98"/>
    <w:rsid w:val="00785ED5"/>
    <w:rsid w:val="007B62FB"/>
    <w:rsid w:val="007C4723"/>
    <w:rsid w:val="007E4CA2"/>
    <w:rsid w:val="008018BC"/>
    <w:rsid w:val="008146C5"/>
    <w:rsid w:val="00841240"/>
    <w:rsid w:val="008763DF"/>
    <w:rsid w:val="00887ACA"/>
    <w:rsid w:val="008A2613"/>
    <w:rsid w:val="008B205C"/>
    <w:rsid w:val="008C77FA"/>
    <w:rsid w:val="0091678A"/>
    <w:rsid w:val="00923382"/>
    <w:rsid w:val="00924802"/>
    <w:rsid w:val="00925B7C"/>
    <w:rsid w:val="00950CEF"/>
    <w:rsid w:val="00962325"/>
    <w:rsid w:val="00970D0C"/>
    <w:rsid w:val="009B30DD"/>
    <w:rsid w:val="00A15900"/>
    <w:rsid w:val="00A553A8"/>
    <w:rsid w:val="00A90938"/>
    <w:rsid w:val="00AB2124"/>
    <w:rsid w:val="00AC1191"/>
    <w:rsid w:val="00AC3AA5"/>
    <w:rsid w:val="00B13E86"/>
    <w:rsid w:val="00B32780"/>
    <w:rsid w:val="00B33A61"/>
    <w:rsid w:val="00B35F4B"/>
    <w:rsid w:val="00B43EF4"/>
    <w:rsid w:val="00B4451F"/>
    <w:rsid w:val="00BA50B6"/>
    <w:rsid w:val="00BA685A"/>
    <w:rsid w:val="00BB7A7A"/>
    <w:rsid w:val="00BC2E0E"/>
    <w:rsid w:val="00BC5586"/>
    <w:rsid w:val="00BF383B"/>
    <w:rsid w:val="00C50EA3"/>
    <w:rsid w:val="00C5701F"/>
    <w:rsid w:val="00C64DB7"/>
    <w:rsid w:val="00C76FF3"/>
    <w:rsid w:val="00C81309"/>
    <w:rsid w:val="00C8419C"/>
    <w:rsid w:val="00C863AE"/>
    <w:rsid w:val="00CC6AAB"/>
    <w:rsid w:val="00CD2457"/>
    <w:rsid w:val="00CE0653"/>
    <w:rsid w:val="00D13810"/>
    <w:rsid w:val="00D22E61"/>
    <w:rsid w:val="00D45F91"/>
    <w:rsid w:val="00D57B1D"/>
    <w:rsid w:val="00D83B52"/>
    <w:rsid w:val="00DA0E06"/>
    <w:rsid w:val="00DB3737"/>
    <w:rsid w:val="00DC2DC5"/>
    <w:rsid w:val="00DE1C90"/>
    <w:rsid w:val="00E65A63"/>
    <w:rsid w:val="00E765CE"/>
    <w:rsid w:val="00E96D54"/>
    <w:rsid w:val="00EA1BAC"/>
    <w:rsid w:val="00EC127B"/>
    <w:rsid w:val="00EC1886"/>
    <w:rsid w:val="00EC6F0C"/>
    <w:rsid w:val="00EF0E54"/>
    <w:rsid w:val="00EF7D35"/>
    <w:rsid w:val="00F03FA8"/>
    <w:rsid w:val="00F35EB4"/>
    <w:rsid w:val="00F80022"/>
    <w:rsid w:val="00F90931"/>
    <w:rsid w:val="00FA16E5"/>
    <w:rsid w:val="00FA2D72"/>
    <w:rsid w:val="00FB0CF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Cabealho1">
    <w:name w:val="heading 1"/>
    <w:aliases w:val="IATED-Section"/>
    <w:next w:val="Normal"/>
    <w:link w:val="Cabealho1Carcte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Cabealho2">
    <w:name w:val="heading 2"/>
    <w:aliases w:val="IATED-Subsection"/>
    <w:next w:val="Normal"/>
    <w:link w:val="Cabealho2Carcte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Cabealho3">
    <w:name w:val="heading 3"/>
    <w:aliases w:val="IATED-Subsubsection"/>
    <w:basedOn w:val="Normal"/>
    <w:next w:val="Normal"/>
    <w:link w:val="Cabealho3Carcte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Cabealho8">
    <w:name w:val="heading 8"/>
    <w:basedOn w:val="Normal"/>
    <w:next w:val="Normal"/>
    <w:link w:val="Cabealho8Carcte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Cabealho9">
    <w:name w:val="heading 9"/>
    <w:basedOn w:val="Normal"/>
    <w:next w:val="Normal"/>
    <w:link w:val="Cabealho9Carcte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tulo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Cabealho2Carcter">
    <w:name w:val="Cabeçalho 2 Carácter"/>
    <w:aliases w:val="IATED-Subsection Carácter"/>
    <w:basedOn w:val="Tipodeletrapredefinidodopargrafo"/>
    <w:link w:val="Cabealho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Cabealho3Carcter">
    <w:name w:val="Cabeçalho 3 Carácter"/>
    <w:aliases w:val="IATED-Subsubsection Carácter"/>
    <w:basedOn w:val="Tipodeletrapredefinidodopargrafo"/>
    <w:link w:val="Cabealho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Cabealho1Carcter">
    <w:name w:val="Cabeçalho 1 Carácter"/>
    <w:aliases w:val="IATED-Section Carácter"/>
    <w:basedOn w:val="Tipodeletrapredefinidodopargrafo"/>
    <w:link w:val="Cabealho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cter"/>
    <w:rsid w:val="001D548D"/>
    <w:rPr>
      <w:rFonts w:ascii="Lucida Grande" w:hAnsi="Lucida Grande"/>
      <w:sz w:val="24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Cabealho">
    <w:name w:val="header"/>
    <w:basedOn w:val="Normal"/>
    <w:link w:val="CabealhoCarcter"/>
    <w:rsid w:val="00411551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rsid w:val="00411551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cter"/>
    <w:uiPriority w:val="99"/>
    <w:rsid w:val="00411551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1551"/>
    <w:rPr>
      <w:rFonts w:ascii="Arial" w:hAnsi="Arial"/>
      <w:szCs w:val="24"/>
      <w:lang w:val="es-ES" w:eastAsia="es-ES"/>
    </w:rPr>
  </w:style>
  <w:style w:type="paragraph" w:styleId="Textodebalo">
    <w:name w:val="Balloon Text"/>
    <w:basedOn w:val="Normal"/>
    <w:link w:val="TextodebaloCarcter"/>
    <w:rsid w:val="00411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11551"/>
    <w:rPr>
      <w:rFonts w:ascii="Tahoma" w:hAnsi="Tahoma" w:cs="Tahoma"/>
      <w:sz w:val="16"/>
      <w:szCs w:val="16"/>
      <w:lang w:val="es-ES" w:eastAsia="es-ES"/>
    </w:rPr>
  </w:style>
  <w:style w:type="character" w:styleId="Hiperligao">
    <w:name w:val="Hyperlink"/>
    <w:basedOn w:val="Tipodeletrapredefinidodopargrafo"/>
    <w:rsid w:val="00EC1886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rsid w:val="00C81309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C81309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C81309"/>
    <w:rPr>
      <w:rFonts w:ascii="Arial" w:hAnsi="Arial"/>
      <w:lang w:val="es-ES" w:eastAsia="es-E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C813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C81309"/>
    <w:rPr>
      <w:rFonts w:ascii="Arial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Cabealho1">
    <w:name w:val="heading 1"/>
    <w:aliases w:val="IATED-Section"/>
    <w:next w:val="Normal"/>
    <w:link w:val="Cabealho1Carcte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Cabealho2">
    <w:name w:val="heading 2"/>
    <w:aliases w:val="IATED-Subsection"/>
    <w:next w:val="Normal"/>
    <w:link w:val="Cabealho2Carcte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Cabealho3">
    <w:name w:val="heading 3"/>
    <w:aliases w:val="IATED-Subsubsection"/>
    <w:basedOn w:val="Normal"/>
    <w:next w:val="Normal"/>
    <w:link w:val="Cabealho3Carcte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Cabealho8">
    <w:name w:val="heading 8"/>
    <w:basedOn w:val="Normal"/>
    <w:next w:val="Normal"/>
    <w:link w:val="Cabealho8Carcte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Cabealho9">
    <w:name w:val="heading 9"/>
    <w:basedOn w:val="Normal"/>
    <w:next w:val="Normal"/>
    <w:link w:val="Cabealho9Carcte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tulo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Cabealho2Carcter">
    <w:name w:val="Cabeçalho 2 Carácter"/>
    <w:aliases w:val="IATED-Subsection Carácter"/>
    <w:basedOn w:val="Tipodeletrapredefinidodopargrafo"/>
    <w:link w:val="Cabealho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Cabealho3Carcter">
    <w:name w:val="Cabeçalho 3 Carácter"/>
    <w:aliases w:val="IATED-Subsubsection Carácter"/>
    <w:basedOn w:val="Tipodeletrapredefinidodopargrafo"/>
    <w:link w:val="Cabealho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Cabealho1Carcter">
    <w:name w:val="Cabeçalho 1 Carácter"/>
    <w:aliases w:val="IATED-Section Carácter"/>
    <w:basedOn w:val="Tipodeletrapredefinidodopargrafo"/>
    <w:link w:val="Cabealho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cter"/>
    <w:rsid w:val="001D548D"/>
    <w:rPr>
      <w:rFonts w:ascii="Lucida Grande" w:hAnsi="Lucida Grande"/>
      <w:sz w:val="24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Cabealho">
    <w:name w:val="header"/>
    <w:basedOn w:val="Normal"/>
    <w:link w:val="CabealhoCarcter"/>
    <w:rsid w:val="00411551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rsid w:val="00411551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cter"/>
    <w:uiPriority w:val="99"/>
    <w:rsid w:val="00411551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1551"/>
    <w:rPr>
      <w:rFonts w:ascii="Arial" w:hAnsi="Arial"/>
      <w:szCs w:val="24"/>
      <w:lang w:val="es-ES" w:eastAsia="es-ES"/>
    </w:rPr>
  </w:style>
  <w:style w:type="paragraph" w:styleId="Textodebalo">
    <w:name w:val="Balloon Text"/>
    <w:basedOn w:val="Normal"/>
    <w:link w:val="TextodebaloCarcter"/>
    <w:rsid w:val="00411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11551"/>
    <w:rPr>
      <w:rFonts w:ascii="Tahoma" w:hAnsi="Tahoma" w:cs="Tahoma"/>
      <w:sz w:val="16"/>
      <w:szCs w:val="16"/>
      <w:lang w:val="es-ES" w:eastAsia="es-ES"/>
    </w:rPr>
  </w:style>
  <w:style w:type="character" w:styleId="Hiperligao">
    <w:name w:val="Hyperlink"/>
    <w:basedOn w:val="Tipodeletrapredefinidodopargrafo"/>
    <w:rsid w:val="00EC1886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rsid w:val="00C81309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C81309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C81309"/>
    <w:rPr>
      <w:rFonts w:ascii="Arial" w:hAnsi="Arial"/>
      <w:lang w:val="es-ES" w:eastAsia="es-E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C813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C81309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Titre</vt:lpstr>
      </vt:variant>
      <vt:variant>
        <vt:i4>1</vt:i4>
      </vt:variant>
    </vt:vector>
  </HeadingPairs>
  <TitlesOfParts>
    <vt:vector size="6" baseType="lpstr">
      <vt:lpstr>PAPER Template</vt:lpstr>
      <vt:lpstr>INTRODUCTION </vt:lpstr>
      <vt:lpstr>Minas cheeses are Brazilian traditional cheeses, often manufactured by small far</vt:lpstr>
      <vt:lpstr>methodology</vt:lpstr>
      <vt:lpstr>Results</vt:lpstr>
      <vt:lpstr>PAPER Template</vt:lpstr>
    </vt:vector>
  </TitlesOfParts>
  <Company>Hewlett-Packard Company</Company>
  <LinksUpToDate>false</LinksUpToDate>
  <CharactersWithSpaces>7547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MCB</dc:creator>
  <cp:lastModifiedBy>ubarron</cp:lastModifiedBy>
  <cp:revision>77</cp:revision>
  <cp:lastPrinted>2017-02-02T09:29:00Z</cp:lastPrinted>
  <dcterms:created xsi:type="dcterms:W3CDTF">2017-12-08T22:08:00Z</dcterms:created>
  <dcterms:modified xsi:type="dcterms:W3CDTF">2021-05-25T17:46:00Z</dcterms:modified>
</cp:coreProperties>
</file>